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C4050">
      <w:pPr>
        <w:pStyle w:val="7"/>
        <w:widowControl/>
        <w:shd w:val="clear" w:color="auto" w:fill="FFFFFF"/>
        <w:spacing w:beforeAutospacing="0" w:afterAutospacing="0"/>
        <w:jc w:val="center"/>
        <w:rPr>
          <w:rFonts w:hint="default" w:cs="宋体"/>
          <w:color w:val="333333"/>
          <w:sz w:val="78"/>
          <w:szCs w:val="78"/>
        </w:rPr>
      </w:pPr>
      <w:r>
        <w:rPr>
          <w:rFonts w:cs="宋体"/>
          <w:color w:val="333333"/>
          <w:sz w:val="78"/>
          <w:szCs w:val="78"/>
          <w:shd w:val="clear" w:color="auto" w:fill="FFFFFF"/>
        </w:rPr>
        <w:t>福建省政府采购</w:t>
      </w:r>
    </w:p>
    <w:p w14:paraId="24ED2224">
      <w:pPr>
        <w:pStyle w:val="7"/>
        <w:widowControl/>
        <w:shd w:val="clear" w:color="auto" w:fill="FFFFFF"/>
        <w:spacing w:beforeAutospacing="0" w:afterAutospacing="0"/>
        <w:jc w:val="center"/>
        <w:rPr>
          <w:rFonts w:hint="default" w:cs="宋体"/>
          <w:color w:val="333333"/>
          <w:sz w:val="78"/>
          <w:szCs w:val="78"/>
        </w:rPr>
      </w:pPr>
      <w:r>
        <w:rPr>
          <w:rFonts w:cs="宋体"/>
          <w:color w:val="333333"/>
          <w:sz w:val="78"/>
          <w:szCs w:val="78"/>
          <w:shd w:val="clear" w:color="auto" w:fill="FFFFFF"/>
        </w:rPr>
        <w:t>货物和服务项目</w:t>
      </w:r>
    </w:p>
    <w:p w14:paraId="63D75DAC">
      <w:pPr>
        <w:pStyle w:val="7"/>
        <w:widowControl/>
        <w:shd w:val="clear" w:color="auto" w:fill="FFFFFF"/>
        <w:spacing w:beforeAutospacing="0" w:afterAutospacing="0"/>
        <w:jc w:val="center"/>
        <w:rPr>
          <w:rFonts w:hint="default" w:cs="宋体"/>
          <w:color w:val="333333"/>
          <w:sz w:val="78"/>
          <w:szCs w:val="78"/>
        </w:rPr>
      </w:pPr>
      <w:r>
        <w:rPr>
          <w:rFonts w:cs="宋体"/>
          <w:color w:val="333333"/>
          <w:sz w:val="78"/>
          <w:szCs w:val="78"/>
          <w:shd w:val="clear" w:color="auto" w:fill="FFFFFF"/>
        </w:rPr>
        <w:t>公开招标文件</w:t>
      </w:r>
    </w:p>
    <w:p w14:paraId="7FFF4586">
      <w:pPr>
        <w:pStyle w:val="6"/>
        <w:widowControl/>
        <w:spacing w:beforeAutospacing="0" w:afterAutospacing="0" w:line="480" w:lineRule="atLeast"/>
        <w:jc w:val="center"/>
        <w:rPr>
          <w:rFonts w:hint="default" w:cs="宋体"/>
        </w:rPr>
      </w:pPr>
    </w:p>
    <w:p w14:paraId="29CE9E36">
      <w:pPr>
        <w:pStyle w:val="6"/>
        <w:widowControl/>
        <w:spacing w:beforeAutospacing="0" w:afterAutospacing="0" w:line="480" w:lineRule="atLeast"/>
        <w:jc w:val="center"/>
        <w:rPr>
          <w:rFonts w:hint="default" w:cs="宋体"/>
        </w:rPr>
      </w:pPr>
    </w:p>
    <w:p w14:paraId="404C27B0">
      <w:pPr>
        <w:pStyle w:val="6"/>
        <w:widowControl/>
        <w:spacing w:beforeAutospacing="0" w:afterAutospacing="0" w:line="480" w:lineRule="atLeast"/>
        <w:jc w:val="center"/>
        <w:rPr>
          <w:rFonts w:hint="default" w:cs="宋体"/>
        </w:rPr>
      </w:pPr>
      <w:bookmarkStart w:id="13" w:name="_GoBack"/>
      <w:bookmarkEnd w:id="13"/>
    </w:p>
    <w:p w14:paraId="5401F784">
      <w:pPr>
        <w:pStyle w:val="6"/>
        <w:widowControl/>
        <w:spacing w:beforeAutospacing="0" w:afterAutospacing="0" w:line="480" w:lineRule="atLeast"/>
        <w:jc w:val="center"/>
        <w:rPr>
          <w:rFonts w:hint="default" w:eastAsia="宋体" w:cs="宋体"/>
          <w:lang w:val="en-US" w:eastAsia="zh-CN"/>
        </w:rPr>
      </w:pPr>
      <w:r>
        <w:rPr>
          <w:rFonts w:hint="eastAsia" w:cs="宋体"/>
          <w:lang w:eastAsia="zh-CN"/>
        </w:rPr>
        <w:t>（</w:t>
      </w:r>
      <w:r>
        <w:rPr>
          <w:rFonts w:hint="eastAsia" w:cs="宋体"/>
          <w:lang w:val="en-US" w:eastAsia="zh-CN"/>
        </w:rPr>
        <w:t>二次预公告稿）</w:t>
      </w:r>
    </w:p>
    <w:p w14:paraId="28FF2F99">
      <w:pPr>
        <w:pStyle w:val="6"/>
        <w:widowControl/>
        <w:spacing w:beforeAutospacing="0" w:afterAutospacing="0" w:line="480" w:lineRule="atLeast"/>
        <w:jc w:val="center"/>
        <w:rPr>
          <w:rFonts w:hint="default" w:cs="宋体"/>
        </w:rPr>
      </w:pPr>
    </w:p>
    <w:p w14:paraId="1E812950">
      <w:pPr>
        <w:pStyle w:val="6"/>
        <w:widowControl/>
        <w:spacing w:beforeAutospacing="0" w:afterAutospacing="0" w:line="480" w:lineRule="atLeast"/>
        <w:jc w:val="center"/>
        <w:rPr>
          <w:rFonts w:hint="default" w:cs="宋体"/>
        </w:rPr>
      </w:pPr>
    </w:p>
    <w:p w14:paraId="35D5AB26">
      <w:pPr>
        <w:pStyle w:val="6"/>
        <w:widowControl/>
        <w:spacing w:beforeAutospacing="0" w:afterAutospacing="0" w:line="480" w:lineRule="atLeast"/>
        <w:jc w:val="center"/>
        <w:rPr>
          <w:rFonts w:hint="default" w:cs="宋体"/>
        </w:rPr>
      </w:pPr>
      <w:r>
        <w:rPr>
          <w:rFonts w:cs="宋体"/>
        </w:rPr>
        <w:t>项目名称：宁德监狱监门一体化平台采购（货物）</w:t>
      </w:r>
    </w:p>
    <w:p w14:paraId="27EF5873">
      <w:pPr>
        <w:pStyle w:val="6"/>
        <w:widowControl/>
        <w:spacing w:beforeAutospacing="0" w:afterAutospacing="0" w:line="480" w:lineRule="atLeast"/>
        <w:jc w:val="center"/>
        <w:rPr>
          <w:rFonts w:hint="default" w:cs="宋体"/>
          <w:highlight w:val="yellow"/>
        </w:rPr>
      </w:pPr>
      <w:r>
        <w:rPr>
          <w:rFonts w:cs="宋体"/>
          <w:highlight w:val="yellow"/>
        </w:rPr>
        <w:t>备案编号：</w:t>
      </w:r>
    </w:p>
    <w:p w14:paraId="62D5D330">
      <w:pPr>
        <w:pStyle w:val="6"/>
        <w:widowControl/>
        <w:spacing w:beforeAutospacing="0" w:afterAutospacing="0" w:line="480" w:lineRule="atLeast"/>
        <w:jc w:val="center"/>
        <w:rPr>
          <w:rFonts w:hint="default" w:cs="宋体"/>
          <w:highlight w:val="yellow"/>
        </w:rPr>
      </w:pPr>
      <w:r>
        <w:rPr>
          <w:rFonts w:cs="宋体"/>
          <w:highlight w:val="yellow"/>
        </w:rPr>
        <w:t>项目编号：</w:t>
      </w:r>
    </w:p>
    <w:p w14:paraId="0B8A5F6C">
      <w:pPr>
        <w:pStyle w:val="6"/>
        <w:widowControl/>
        <w:spacing w:beforeAutospacing="0" w:afterAutospacing="0" w:line="480" w:lineRule="atLeast"/>
        <w:jc w:val="center"/>
        <w:rPr>
          <w:rFonts w:hint="default" w:cs="宋体"/>
        </w:rPr>
      </w:pPr>
    </w:p>
    <w:p w14:paraId="6DD44A05">
      <w:pPr>
        <w:pStyle w:val="6"/>
        <w:widowControl/>
        <w:spacing w:beforeAutospacing="0" w:afterAutospacing="0" w:line="480" w:lineRule="atLeast"/>
        <w:jc w:val="center"/>
        <w:rPr>
          <w:rFonts w:hint="default" w:cs="宋体"/>
        </w:rPr>
      </w:pPr>
    </w:p>
    <w:p w14:paraId="6F24F869">
      <w:pPr>
        <w:pStyle w:val="6"/>
        <w:widowControl/>
        <w:spacing w:beforeAutospacing="0" w:afterAutospacing="0" w:line="480" w:lineRule="atLeast"/>
        <w:jc w:val="center"/>
        <w:rPr>
          <w:rFonts w:hint="default" w:cs="宋体"/>
        </w:rPr>
      </w:pPr>
    </w:p>
    <w:p w14:paraId="26B7B99A">
      <w:pPr>
        <w:pStyle w:val="6"/>
        <w:widowControl/>
        <w:spacing w:beforeAutospacing="0" w:afterAutospacing="0" w:line="480" w:lineRule="atLeast"/>
        <w:jc w:val="center"/>
        <w:rPr>
          <w:rFonts w:hint="default" w:cs="宋体"/>
        </w:rPr>
      </w:pPr>
      <w:r>
        <w:rPr>
          <w:rFonts w:cs="宋体"/>
        </w:rPr>
        <w:t>采购人：福建省宁德监狱</w:t>
      </w:r>
    </w:p>
    <w:p w14:paraId="3F19A130">
      <w:pPr>
        <w:pStyle w:val="6"/>
        <w:widowControl/>
        <w:spacing w:beforeAutospacing="0" w:afterAutospacing="0" w:line="480" w:lineRule="atLeast"/>
        <w:jc w:val="center"/>
        <w:rPr>
          <w:rFonts w:hint="default" w:cs="宋体"/>
        </w:rPr>
      </w:pPr>
      <w:r>
        <w:rPr>
          <w:rFonts w:cs="宋体"/>
        </w:rPr>
        <w:t>代理机构：福建省新卫招标代理有限公司</w:t>
      </w:r>
    </w:p>
    <w:p w14:paraId="77A65516">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编制时间：202</w:t>
      </w:r>
      <w:r>
        <w:rPr>
          <w:rFonts w:hint="eastAsia" w:cs="宋体"/>
          <w:color w:val="333333"/>
          <w:shd w:val="clear" w:color="auto" w:fill="FFFFFF"/>
          <w:lang w:val="en-US" w:eastAsia="zh-CN"/>
        </w:rPr>
        <w:t>5</w:t>
      </w:r>
      <w:r>
        <w:rPr>
          <w:rFonts w:cs="宋体"/>
          <w:color w:val="333333"/>
          <w:shd w:val="clear" w:color="auto" w:fill="FFFFFF"/>
        </w:rPr>
        <w:t>年</w:t>
      </w:r>
      <w:r>
        <w:rPr>
          <w:rFonts w:hint="eastAsia" w:cs="宋体"/>
          <w:color w:val="333333"/>
          <w:shd w:val="clear" w:color="auto" w:fill="FFFFFF"/>
          <w:lang w:val="en-US" w:eastAsia="zh-CN"/>
        </w:rPr>
        <w:t>4</w:t>
      </w:r>
      <w:r>
        <w:rPr>
          <w:rFonts w:cs="宋体"/>
          <w:color w:val="333333"/>
          <w:shd w:val="clear" w:color="auto" w:fill="FFFFFF"/>
        </w:rPr>
        <w:t>月</w:t>
      </w:r>
    </w:p>
    <w:p w14:paraId="6C4CB1E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6F595B67">
      <w:pPr>
        <w:pStyle w:val="8"/>
        <w:widowControl/>
        <w:shd w:val="clear" w:color="auto" w:fill="FFFFFF"/>
        <w:spacing w:beforeAutospacing="0" w:afterAutospacing="0" w:line="480" w:lineRule="atLeast"/>
        <w:jc w:val="center"/>
        <w:rPr>
          <w:rFonts w:hint="default" w:cs="宋体"/>
          <w:color w:val="333333"/>
          <w:sz w:val="39"/>
          <w:szCs w:val="39"/>
        </w:rPr>
      </w:pPr>
      <w:r>
        <w:rPr>
          <w:rFonts w:cs="宋体"/>
          <w:color w:val="333333"/>
          <w:sz w:val="39"/>
          <w:szCs w:val="39"/>
          <w:shd w:val="clear" w:color="auto" w:fill="FFFFFF"/>
        </w:rPr>
        <w:t>第一章 投标邀请</w:t>
      </w:r>
    </w:p>
    <w:p w14:paraId="6422BF0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福建省新卫招标代理有限公司 采用公开招标方式组织宁德监狱监门一体化平台采购（货物）（以下简称：“本项目”）的政府采购活动，现邀请供应商参加投标。</w:t>
      </w:r>
    </w:p>
    <w:p w14:paraId="238410DF">
      <w:pPr>
        <w:pStyle w:val="6"/>
        <w:widowControl/>
        <w:shd w:val="clear" w:color="auto" w:fill="FFFFFF"/>
        <w:spacing w:beforeAutospacing="0" w:afterAutospacing="0" w:line="480" w:lineRule="atLeast"/>
        <w:ind w:firstLine="420"/>
        <w:rPr>
          <w:rFonts w:hint="eastAsia" w:eastAsia="宋体" w:cs="宋体"/>
          <w:color w:val="333333"/>
          <w:sz w:val="24"/>
          <w:szCs w:val="24"/>
          <w:highlight w:val="yellow"/>
          <w:lang w:val="en-US" w:eastAsia="zh-CN"/>
        </w:rPr>
      </w:pPr>
      <w:r>
        <w:rPr>
          <w:rFonts w:cs="宋体"/>
          <w:color w:val="333333"/>
          <w:sz w:val="24"/>
          <w:szCs w:val="24"/>
          <w:highlight w:val="yellow"/>
          <w:shd w:val="clear" w:color="auto" w:fill="FFFFFF"/>
        </w:rPr>
        <w:t>1、备案编号：</w:t>
      </w:r>
    </w:p>
    <w:p w14:paraId="26CCA577">
      <w:pPr>
        <w:pStyle w:val="6"/>
        <w:widowControl/>
        <w:shd w:val="clear" w:color="auto" w:fill="FFFFFF"/>
        <w:spacing w:beforeAutospacing="0" w:afterAutospacing="0" w:line="480" w:lineRule="atLeast"/>
        <w:ind w:firstLine="420"/>
        <w:rPr>
          <w:rFonts w:hint="default" w:cs="宋体"/>
          <w:color w:val="333333"/>
          <w:sz w:val="24"/>
          <w:szCs w:val="24"/>
          <w:highlight w:val="yellow"/>
        </w:rPr>
      </w:pPr>
      <w:r>
        <w:rPr>
          <w:rFonts w:cs="宋体"/>
          <w:color w:val="333333"/>
          <w:sz w:val="24"/>
          <w:szCs w:val="24"/>
          <w:highlight w:val="yellow"/>
          <w:shd w:val="clear" w:color="auto" w:fill="FFFFFF"/>
        </w:rPr>
        <w:t>2、项目编号：</w:t>
      </w:r>
    </w:p>
    <w:p w14:paraId="3ECF28F5">
      <w:pPr>
        <w:pStyle w:val="6"/>
        <w:widowControl/>
        <w:shd w:val="clear" w:color="auto" w:fill="FFFFFF"/>
        <w:spacing w:beforeAutospacing="0" w:afterAutospacing="0" w:line="480" w:lineRule="atLeast"/>
        <w:ind w:firstLine="420"/>
        <w:jc w:val="both"/>
        <w:rPr>
          <w:rFonts w:hint="default" w:cs="宋体"/>
          <w:color w:val="333333"/>
          <w:sz w:val="24"/>
          <w:szCs w:val="24"/>
        </w:rPr>
      </w:pPr>
      <w:r>
        <w:rPr>
          <w:rFonts w:cs="宋体"/>
          <w:color w:val="333333"/>
          <w:sz w:val="24"/>
          <w:szCs w:val="24"/>
          <w:shd w:val="clear" w:color="auto" w:fill="FFFFFF"/>
        </w:rPr>
        <w:t>3、预算金额、最高限价：详见《采购标的一览表》。</w:t>
      </w:r>
    </w:p>
    <w:p w14:paraId="359C8F65">
      <w:pPr>
        <w:pStyle w:val="6"/>
        <w:widowControl/>
        <w:shd w:val="clear" w:color="auto" w:fill="FFFFFF"/>
        <w:spacing w:beforeAutospacing="0" w:afterAutospacing="0" w:line="480" w:lineRule="atLeast"/>
        <w:ind w:firstLine="420"/>
        <w:rPr>
          <w:rFonts w:hint="default" w:cs="宋体"/>
          <w:color w:val="333333"/>
          <w:sz w:val="24"/>
          <w:szCs w:val="24"/>
        </w:rPr>
      </w:pPr>
      <w:r>
        <w:rPr>
          <w:rFonts w:cs="宋体"/>
          <w:color w:val="333333"/>
          <w:sz w:val="24"/>
          <w:szCs w:val="24"/>
          <w:shd w:val="clear" w:color="auto" w:fill="FFFFFF"/>
        </w:rPr>
        <w:t>4、招标内容及要求：详见《采购标的一览表》及招标文件第五章。</w:t>
      </w:r>
    </w:p>
    <w:p w14:paraId="04561739">
      <w:pPr>
        <w:pStyle w:val="6"/>
        <w:widowControl/>
        <w:shd w:val="clear" w:color="auto" w:fill="FFFFFF"/>
        <w:spacing w:beforeAutospacing="0" w:afterAutospacing="0" w:line="480" w:lineRule="atLeast"/>
        <w:ind w:firstLine="420"/>
        <w:rPr>
          <w:rFonts w:hint="default" w:cs="宋体"/>
          <w:color w:val="333333"/>
          <w:sz w:val="24"/>
          <w:szCs w:val="24"/>
        </w:rPr>
      </w:pPr>
      <w:r>
        <w:rPr>
          <w:rFonts w:cs="宋体"/>
          <w:color w:val="333333"/>
          <w:sz w:val="24"/>
          <w:szCs w:val="24"/>
          <w:shd w:val="clear" w:color="auto" w:fill="FFFFFF"/>
        </w:rPr>
        <w:t>5、需要落实的政府采购政策</w:t>
      </w:r>
    </w:p>
    <w:p w14:paraId="70A0F74F">
      <w:pPr>
        <w:pStyle w:val="4"/>
        <w:widowControl/>
        <w:shd w:val="clear" w:color="auto" w:fill="FFFFFF"/>
        <w:spacing w:beforeAutospacing="0" w:afterAutospacing="0" w:line="480" w:lineRule="atLeast"/>
        <w:ind w:firstLine="480" w:firstLineChars="200"/>
        <w:rPr>
          <w:rFonts w:ascii="宋体" w:hAnsi="宋体" w:eastAsia="宋体" w:cs="宋体"/>
          <w:color w:val="333333"/>
        </w:rPr>
      </w:pPr>
      <w:r>
        <w:rPr>
          <w:rFonts w:hint="eastAsia" w:ascii="宋体" w:hAnsi="宋体" w:eastAsia="宋体" w:cs="宋体"/>
          <w:color w:val="333333"/>
          <w:shd w:val="clear" w:color="auto" w:fill="FFFFFF"/>
        </w:rPr>
        <w:t>进口产品：不适用于本项目。</w:t>
      </w:r>
    </w:p>
    <w:p w14:paraId="35473B44">
      <w:pPr>
        <w:pStyle w:val="4"/>
        <w:widowControl/>
        <w:shd w:val="clear" w:color="auto" w:fill="FFFFFF"/>
        <w:spacing w:beforeAutospacing="0" w:afterAutospacing="0" w:line="480" w:lineRule="atLeast"/>
        <w:ind w:firstLine="480" w:firstLineChars="200"/>
        <w:rPr>
          <w:rFonts w:ascii="宋体" w:hAnsi="宋体" w:eastAsia="宋体" w:cs="宋体"/>
          <w:color w:val="333333"/>
        </w:rPr>
      </w:pPr>
      <w:r>
        <w:rPr>
          <w:rFonts w:hint="eastAsia" w:ascii="宋体" w:hAnsi="宋体" w:eastAsia="宋体" w:cs="宋体"/>
          <w:color w:val="333333"/>
          <w:shd w:val="clear" w:color="auto" w:fill="FFFFFF"/>
        </w:rPr>
        <w:t>节能产品：适用于本项目，按照财政部《关于印发节能产品政府采购品目清单的通知》(财库〔2019〕19号)或最新公布的品目清单执行。</w:t>
      </w:r>
    </w:p>
    <w:p w14:paraId="4CDED706">
      <w:pPr>
        <w:pStyle w:val="4"/>
        <w:widowControl/>
        <w:shd w:val="clear" w:color="auto" w:fill="FFFFFF"/>
        <w:spacing w:beforeAutospacing="0" w:afterAutospacing="0" w:line="480" w:lineRule="atLeast"/>
        <w:ind w:firstLine="480" w:firstLineChars="200"/>
        <w:rPr>
          <w:rFonts w:ascii="宋体" w:hAnsi="宋体" w:eastAsia="宋体" w:cs="宋体"/>
          <w:color w:val="333333"/>
        </w:rPr>
      </w:pPr>
      <w:r>
        <w:rPr>
          <w:rFonts w:hint="eastAsia" w:ascii="宋体" w:hAnsi="宋体" w:eastAsia="宋体" w:cs="宋体"/>
          <w:color w:val="333333"/>
          <w:shd w:val="clear" w:color="auto" w:fill="FFFFFF"/>
        </w:rPr>
        <w:t>环境标志产品：适用于本项目，按照财政部《关于印发环境标志产品政府采购品目清单的通知》（财库〔2019〕18号）或最新公布的品目清单执行。</w:t>
      </w:r>
    </w:p>
    <w:p w14:paraId="4928E923">
      <w:pPr>
        <w:pStyle w:val="4"/>
        <w:widowControl/>
        <w:shd w:val="clear" w:color="auto" w:fill="FFFFFF"/>
        <w:spacing w:beforeAutospacing="0" w:afterAutospacing="0" w:line="480" w:lineRule="atLeast"/>
        <w:ind w:firstLine="480" w:firstLineChars="200"/>
        <w:rPr>
          <w:rFonts w:ascii="宋体" w:hAnsi="宋体" w:eastAsia="宋体" w:cs="宋体"/>
          <w:color w:val="333333"/>
        </w:rPr>
      </w:pPr>
      <w:r>
        <w:rPr>
          <w:rFonts w:hint="eastAsia" w:ascii="宋体" w:hAnsi="宋体" w:eastAsia="宋体" w:cs="宋体"/>
          <w:color w:val="333333"/>
          <w:shd w:val="clear" w:color="auto" w:fill="FFFFFF"/>
        </w:rPr>
        <w:t>促进中小企业发展的相关政策：</w:t>
      </w:r>
    </w:p>
    <w:p w14:paraId="2BA42E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采购包1：设置专门采购包</w:t>
      </w:r>
    </w:p>
    <w:p w14:paraId="73A3A2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面向的企业规模：中小企业</w:t>
      </w:r>
    </w:p>
    <w:p w14:paraId="4C70AC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预留形式：设置专门采购包</w:t>
      </w:r>
    </w:p>
    <w:p w14:paraId="6855AC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预留比例：100%</w:t>
      </w:r>
    </w:p>
    <w:p w14:paraId="3E095022">
      <w:pPr>
        <w:pStyle w:val="6"/>
        <w:widowControl/>
        <w:shd w:val="clear" w:color="auto" w:fill="FFFFFF"/>
        <w:spacing w:beforeAutospacing="0" w:afterAutospacing="0" w:line="480" w:lineRule="atLeast"/>
        <w:ind w:firstLine="420"/>
        <w:jc w:val="both"/>
        <w:rPr>
          <w:rFonts w:hint="default" w:cs="宋体"/>
          <w:color w:val="333333"/>
          <w:sz w:val="24"/>
          <w:szCs w:val="24"/>
        </w:rPr>
      </w:pPr>
      <w:r>
        <w:rPr>
          <w:rFonts w:cs="宋体"/>
          <w:color w:val="333333"/>
          <w:sz w:val="24"/>
          <w:szCs w:val="24"/>
          <w:shd w:val="clear" w:color="auto" w:fill="FFFFFF"/>
        </w:rPr>
        <w:t>6、投标人的资格要求</w:t>
      </w:r>
    </w:p>
    <w:p w14:paraId="1A122573">
      <w:pPr>
        <w:pStyle w:val="4"/>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6.1法定条件：符合政府采购法第二十二条第一款规定的条件。</w:t>
      </w:r>
    </w:p>
    <w:p w14:paraId="6893B335">
      <w:pPr>
        <w:pStyle w:val="4"/>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6.2特定条件：</w:t>
      </w:r>
    </w:p>
    <w:p w14:paraId="7556E24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采购包1：</w:t>
      </w:r>
    </w:p>
    <w:tbl>
      <w:tblPr>
        <w:tblStyle w:val="17"/>
        <w:tblW w:w="8546" w:type="dxa"/>
        <w:tblInd w:w="0" w:type="dxa"/>
        <w:tblLayout w:type="fixed"/>
        <w:tblCellMar>
          <w:top w:w="0" w:type="dxa"/>
          <w:left w:w="0" w:type="dxa"/>
          <w:bottom w:w="0" w:type="dxa"/>
          <w:right w:w="0" w:type="dxa"/>
        </w:tblCellMar>
      </w:tblPr>
      <w:tblGrid>
        <w:gridCol w:w="2454"/>
        <w:gridCol w:w="6092"/>
      </w:tblGrid>
      <w:tr w14:paraId="39A565F0">
        <w:tblPrEx>
          <w:tblCellMar>
            <w:top w:w="0" w:type="dxa"/>
            <w:left w:w="0" w:type="dxa"/>
            <w:bottom w:w="0" w:type="dxa"/>
            <w:right w:w="0" w:type="dxa"/>
          </w:tblCellMar>
        </w:tblPrEx>
        <w:tc>
          <w:tcPr>
            <w:tcW w:w="245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BA13B6B">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资格审查要求概况</w:t>
            </w:r>
          </w:p>
        </w:tc>
        <w:tc>
          <w:tcPr>
            <w:tcW w:w="6092"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4756D4A">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评审点具体描述</w:t>
            </w:r>
          </w:p>
        </w:tc>
      </w:tr>
      <w:tr w14:paraId="1E86D47E">
        <w:tblPrEx>
          <w:tblCellMar>
            <w:top w:w="0" w:type="dxa"/>
            <w:left w:w="0" w:type="dxa"/>
            <w:bottom w:w="0" w:type="dxa"/>
            <w:right w:w="0" w:type="dxa"/>
          </w:tblCellMar>
        </w:tblPrEx>
        <w:tc>
          <w:tcPr>
            <w:tcW w:w="24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F301EB">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资格承诺函</w:t>
            </w:r>
          </w:p>
        </w:tc>
        <w:tc>
          <w:tcPr>
            <w:tcW w:w="609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A98958">
            <w:pPr>
              <w:widowControl/>
              <w:wordWrap w:val="0"/>
              <w:spacing w:line="480" w:lineRule="atLeast"/>
              <w:rPr>
                <w:rFonts w:ascii="宋体" w:hAnsi="宋体" w:eastAsia="宋体" w:cs="宋体"/>
                <w:sz w:val="24"/>
              </w:rPr>
            </w:pPr>
            <w:r>
              <w:rPr>
                <w:rFonts w:hint="eastAsia" w:ascii="宋体" w:hAnsi="宋体" w:eastAsia="宋体" w:cs="宋体"/>
                <w:color w:val="5B5852"/>
                <w:sz w:val="24"/>
                <w:shd w:val="clear" w:color="auto" w:fill="FFFFFF"/>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A9B34D6">
        <w:tblPrEx>
          <w:tblCellMar>
            <w:top w:w="0" w:type="dxa"/>
            <w:left w:w="0" w:type="dxa"/>
            <w:bottom w:w="0" w:type="dxa"/>
            <w:right w:w="0" w:type="dxa"/>
          </w:tblCellMar>
        </w:tblPrEx>
        <w:tc>
          <w:tcPr>
            <w:tcW w:w="24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6DA5DFE">
            <w:pPr>
              <w:widowControl/>
              <w:wordWrap w:val="0"/>
              <w:spacing w:line="480" w:lineRule="atLeast"/>
              <w:jc w:val="center"/>
              <w:rPr>
                <w:rFonts w:hint="eastAsia" w:ascii="宋体" w:hAnsi="宋体" w:eastAsia="宋体" w:cs="宋体"/>
                <w:color w:val="auto"/>
                <w:kern w:val="0"/>
                <w:sz w:val="24"/>
              </w:rPr>
            </w:pPr>
            <w:r>
              <w:rPr>
                <w:rFonts w:hint="eastAsia" w:ascii="宋体" w:hAnsi="宋体" w:eastAsia="宋体" w:cs="宋体"/>
                <w:i w:val="0"/>
                <w:iCs w:val="0"/>
                <w:caps w:val="0"/>
                <w:color w:val="auto"/>
                <w:spacing w:val="0"/>
                <w:sz w:val="24"/>
                <w:szCs w:val="24"/>
                <w:shd w:val="clear" w:fill="FFFFFF"/>
              </w:rPr>
              <w:t>本采购包属于专门面向中小企业采购。</w:t>
            </w:r>
          </w:p>
        </w:tc>
        <w:tc>
          <w:tcPr>
            <w:tcW w:w="609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08F6D9">
            <w:pPr>
              <w:widowControl/>
              <w:wordWrap w:val="0"/>
              <w:spacing w:line="480" w:lineRule="atLeast"/>
              <w:rPr>
                <w:rFonts w:hint="eastAsia" w:ascii="宋体" w:hAnsi="宋体" w:eastAsia="宋体" w:cs="宋体"/>
                <w:color w:val="auto"/>
                <w:sz w:val="24"/>
                <w:shd w:val="clear" w:color="auto" w:fill="FFFFFF"/>
              </w:rPr>
            </w:pPr>
            <w:r>
              <w:rPr>
                <w:rFonts w:hint="eastAsia" w:ascii="宋体" w:hAnsi="宋体" w:eastAsia="宋体" w:cs="宋体"/>
                <w:i w:val="0"/>
                <w:iCs w:val="0"/>
                <w:caps w:val="0"/>
                <w:color w:val="auto"/>
                <w:spacing w:val="0"/>
                <w:sz w:val="24"/>
                <w:szCs w:val="24"/>
                <w:shd w:val="clear" w:fill="FFFFFF"/>
              </w:rPr>
              <w:t>根据（财库〔2020〕46号）规定，本项目专门面向中小企业采购。本项目属于“货物类”采购项目，采购标的为“</w:t>
            </w:r>
            <w:r>
              <w:rPr>
                <w:rFonts w:hint="eastAsia" w:ascii="宋体" w:hAnsi="宋体" w:eastAsia="宋体" w:cs="宋体"/>
                <w:color w:val="auto"/>
                <w:kern w:val="0"/>
                <w:sz w:val="24"/>
              </w:rPr>
              <w:t>宁德监狱监门一体化平台采购（货物）</w:t>
            </w:r>
            <w:r>
              <w:rPr>
                <w:rFonts w:hint="eastAsia" w:ascii="宋体" w:hAnsi="宋体" w:eastAsia="宋体" w:cs="宋体"/>
                <w:i w:val="0"/>
                <w:iCs w:val="0"/>
                <w:caps w:val="0"/>
                <w:color w:val="auto"/>
                <w:spacing w:val="0"/>
                <w:sz w:val="24"/>
                <w:szCs w:val="24"/>
                <w:shd w:val="clear" w:fill="FFFFFF"/>
              </w:rPr>
              <w:t>”，采购标的对应的中小企业划分标准所属行业为“工业”。投标人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中小企业采购的项目,产品制造商应为中小微企业、监狱企业、残疾人福利性单位)</w:t>
            </w:r>
          </w:p>
        </w:tc>
      </w:tr>
      <w:tr w14:paraId="4CCE7EAB">
        <w:tblPrEx>
          <w:tblCellMar>
            <w:top w:w="0" w:type="dxa"/>
            <w:left w:w="0" w:type="dxa"/>
            <w:bottom w:w="0" w:type="dxa"/>
            <w:right w:w="0" w:type="dxa"/>
          </w:tblCellMar>
        </w:tblPrEx>
        <w:tc>
          <w:tcPr>
            <w:tcW w:w="24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216BFB">
            <w:pPr>
              <w:keepNext w:val="0"/>
              <w:keepLines w:val="0"/>
              <w:widowControl/>
              <w:suppressLineNumbers w:val="0"/>
              <w:wordWrap w:val="0"/>
              <w:spacing w:before="0" w:beforeAutospacing="0" w:after="0" w:afterAutospacing="0" w:line="480" w:lineRule="atLeast"/>
              <w:ind w:left="0" w:leftChars="0" w:right="0" w:rightChars="0" w:firstLine="0" w:firstLineChars="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color="auto" w:fill="FFFFFF"/>
              </w:rPr>
              <w:t>关于【一般资格证明文件中“（3）提供财务状况报告(财务报告、或资信证明）”】的补充说明</w:t>
            </w:r>
          </w:p>
        </w:tc>
        <w:tc>
          <w:tcPr>
            <w:tcW w:w="609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46C8F1">
            <w:pPr>
              <w:keepNext w:val="0"/>
              <w:keepLines w:val="0"/>
              <w:widowControl/>
              <w:suppressLineNumbers w:val="0"/>
              <w:wordWrap w:val="0"/>
              <w:spacing w:before="0" w:beforeAutospacing="0" w:after="0" w:afterAutospacing="0" w:line="480" w:lineRule="atLeast"/>
              <w:ind w:left="0" w:leftChars="0" w:right="0" w:rightChars="0" w:firstLine="0" w:firstLineChars="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color="auto" w:fill="FFFFFF"/>
              </w:rPr>
              <w:t>针对“a.成立年限满1年及以上的投标人，提供经审计的上一年度的年度财务报告。”的规定，是指202</w:t>
            </w:r>
            <w:r>
              <w:rPr>
                <w:rFonts w:hint="eastAsia" w:ascii="宋体" w:hAnsi="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或者202</w:t>
            </w:r>
            <w:r>
              <w:rPr>
                <w:rFonts w:hint="eastAsia" w:ascii="宋体" w:hAnsi="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年度经审计的财务报告，招标文件其他内容与本条款有冲突的，均以本条款规定为准。</w:t>
            </w:r>
          </w:p>
        </w:tc>
      </w:tr>
    </w:tbl>
    <w:p w14:paraId="414D60DC">
      <w:pPr>
        <w:pStyle w:val="4"/>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6.3是否接受联合体投标：</w:t>
      </w:r>
    </w:p>
    <w:p w14:paraId="2710E481">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采购包1：不接受</w:t>
      </w:r>
    </w:p>
    <w:p w14:paraId="6C798139">
      <w:pPr>
        <w:pStyle w:val="4"/>
        <w:widowControl/>
        <w:shd w:val="clear" w:color="auto" w:fill="FFFFFF"/>
        <w:spacing w:beforeAutospacing="0" w:afterAutospacing="0" w:line="480" w:lineRule="atLeast"/>
        <w:ind w:firstLine="420"/>
        <w:jc w:val="both"/>
        <w:rPr>
          <w:rFonts w:ascii="宋体" w:hAnsi="宋体" w:eastAsia="宋体" w:cs="宋体"/>
          <w:b/>
          <w:bCs/>
          <w:color w:val="333333"/>
        </w:rPr>
      </w:pPr>
      <w:r>
        <w:rPr>
          <w:rFonts w:hint="eastAsia" w:ascii="宋体" w:hAnsi="宋体" w:eastAsia="宋体" w:cs="宋体"/>
          <w:b/>
          <w:bCs/>
          <w:color w:val="333333"/>
          <w:shd w:val="clear" w:color="auto" w:fill="FFFFFF"/>
        </w:rPr>
        <w:t>※根据上述资格要求，电子投标文件中应提交的“投标人的资格及资信证明文件”详见招标文件第四章。</w:t>
      </w:r>
    </w:p>
    <w:p w14:paraId="4BA97F6C">
      <w:pPr>
        <w:pStyle w:val="6"/>
        <w:widowControl/>
        <w:shd w:val="clear" w:color="auto" w:fill="FFFFFF"/>
        <w:spacing w:beforeAutospacing="0" w:afterAutospacing="0" w:line="480" w:lineRule="atLeast"/>
        <w:ind w:firstLine="420"/>
        <w:jc w:val="both"/>
        <w:rPr>
          <w:rFonts w:hint="default" w:cs="宋体"/>
          <w:color w:val="333333"/>
          <w:sz w:val="24"/>
          <w:szCs w:val="24"/>
        </w:rPr>
      </w:pPr>
      <w:r>
        <w:rPr>
          <w:rFonts w:cs="宋体"/>
          <w:color w:val="333333"/>
          <w:sz w:val="24"/>
          <w:szCs w:val="24"/>
          <w:shd w:val="clear" w:color="auto" w:fill="FFFFFF"/>
        </w:rPr>
        <w:t>7、招标文件的获取</w:t>
      </w:r>
    </w:p>
    <w:p w14:paraId="46B2CD5A">
      <w:pPr>
        <w:pStyle w:val="4"/>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7.1、招标文件获取期限：详见招标公告或更正公告，若不一致，以更正公告为准。</w:t>
      </w:r>
    </w:p>
    <w:p w14:paraId="597D7262">
      <w:pPr>
        <w:pStyle w:val="4"/>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1D8C2719">
      <w:pPr>
        <w:pStyle w:val="4"/>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7.3、获取地点及方式：注册账号后，通过福建省政府采购网上公开信息系统以下载方式获取。</w:t>
      </w:r>
    </w:p>
    <w:p w14:paraId="602B199E">
      <w:pPr>
        <w:pStyle w:val="4"/>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7.4、招标文件售价：0元。</w:t>
      </w:r>
    </w:p>
    <w:p w14:paraId="40F76B16">
      <w:pPr>
        <w:pStyle w:val="6"/>
        <w:widowControl/>
        <w:shd w:val="clear" w:color="auto" w:fill="FFFFFF"/>
        <w:spacing w:beforeAutospacing="0" w:afterAutospacing="0" w:line="480" w:lineRule="atLeast"/>
        <w:ind w:firstLine="420"/>
        <w:jc w:val="both"/>
        <w:rPr>
          <w:rFonts w:hint="default" w:cs="宋体"/>
          <w:color w:val="333333"/>
          <w:sz w:val="24"/>
          <w:szCs w:val="24"/>
        </w:rPr>
      </w:pPr>
      <w:r>
        <w:rPr>
          <w:rFonts w:cs="宋体"/>
          <w:color w:val="333333"/>
          <w:sz w:val="24"/>
          <w:szCs w:val="24"/>
          <w:shd w:val="clear" w:color="auto" w:fill="FFFFFF"/>
        </w:rPr>
        <w:t>8、投标截止</w:t>
      </w:r>
    </w:p>
    <w:p w14:paraId="547F3150">
      <w:pPr>
        <w:pStyle w:val="4"/>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8.1、投标截止时间：详见招标公告或更正公告，若不一致，以更正公告为准。</w:t>
      </w:r>
    </w:p>
    <w:p w14:paraId="7BEEADC9">
      <w:pPr>
        <w:pStyle w:val="4"/>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8.2、投标人应在投标截止时间前按照福建省政府采购网上公开信息系统设定的操作流程将电子投标文件上传至福建省政府采购网上公开信息系统，否则投标将被拒绝。</w:t>
      </w:r>
    </w:p>
    <w:p w14:paraId="7374D16D">
      <w:pPr>
        <w:pStyle w:val="6"/>
        <w:widowControl/>
        <w:shd w:val="clear" w:color="auto" w:fill="FFFFFF"/>
        <w:spacing w:beforeAutospacing="0" w:afterAutospacing="0" w:line="480" w:lineRule="atLeast"/>
        <w:ind w:firstLine="420"/>
        <w:jc w:val="both"/>
        <w:rPr>
          <w:rFonts w:hint="default" w:cs="宋体"/>
          <w:color w:val="333333"/>
          <w:sz w:val="24"/>
          <w:szCs w:val="24"/>
        </w:rPr>
      </w:pPr>
      <w:r>
        <w:rPr>
          <w:rFonts w:cs="宋体"/>
          <w:color w:val="333333"/>
          <w:sz w:val="24"/>
          <w:szCs w:val="24"/>
          <w:shd w:val="clear" w:color="auto" w:fill="FFFFFF"/>
        </w:rPr>
        <w:t>9、开标时间及地点</w:t>
      </w:r>
    </w:p>
    <w:p w14:paraId="7FD6F765">
      <w:pPr>
        <w:pStyle w:val="4"/>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详见招标公告或更正公告，若不一致，以更正公告为准。</w:t>
      </w:r>
    </w:p>
    <w:p w14:paraId="4757558D">
      <w:pPr>
        <w:pStyle w:val="6"/>
        <w:widowControl/>
        <w:shd w:val="clear" w:color="auto" w:fill="FFFFFF"/>
        <w:spacing w:beforeAutospacing="0" w:afterAutospacing="0" w:line="480" w:lineRule="atLeast"/>
        <w:ind w:firstLine="420"/>
        <w:jc w:val="both"/>
        <w:rPr>
          <w:rFonts w:hint="default" w:cs="宋体"/>
          <w:color w:val="333333"/>
          <w:sz w:val="24"/>
          <w:szCs w:val="24"/>
        </w:rPr>
      </w:pPr>
      <w:r>
        <w:rPr>
          <w:rFonts w:cs="宋体"/>
          <w:color w:val="333333"/>
          <w:sz w:val="24"/>
          <w:szCs w:val="24"/>
          <w:shd w:val="clear" w:color="auto" w:fill="FFFFFF"/>
        </w:rPr>
        <w:t>10、公告期限</w:t>
      </w:r>
    </w:p>
    <w:p w14:paraId="39E2058C">
      <w:pPr>
        <w:pStyle w:val="4"/>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10.1、招标公告的公告期限：自财政部和福建省财政厅指定的政府采购信息发布媒体最先发布公告之日起5个工作日。</w:t>
      </w:r>
    </w:p>
    <w:p w14:paraId="2030D973">
      <w:pPr>
        <w:pStyle w:val="4"/>
        <w:widowControl/>
        <w:shd w:val="clear" w:color="auto" w:fill="FFFFFF"/>
        <w:spacing w:beforeAutospacing="0" w:afterAutospacing="0" w:line="480" w:lineRule="atLeast"/>
        <w:ind w:firstLine="480" w:firstLineChars="200"/>
        <w:jc w:val="both"/>
        <w:rPr>
          <w:rFonts w:ascii="宋体" w:hAnsi="宋体" w:eastAsia="宋体" w:cs="宋体"/>
          <w:color w:val="333333"/>
        </w:rPr>
      </w:pPr>
      <w:r>
        <w:rPr>
          <w:rFonts w:hint="eastAsia" w:ascii="宋体" w:hAnsi="宋体" w:eastAsia="宋体" w:cs="宋体"/>
          <w:color w:val="333333"/>
          <w:shd w:val="clear" w:color="auto" w:fill="FFFFFF"/>
        </w:rPr>
        <w:t>10.2、招标文件公告期限：招标文件随同招标公告一并发布，其公告期限与招标公告的公告期限保持一致。</w:t>
      </w:r>
    </w:p>
    <w:p w14:paraId="74EA5658">
      <w:pPr>
        <w:pStyle w:val="6"/>
        <w:widowControl/>
        <w:shd w:val="clear" w:color="auto" w:fill="FFFFFF"/>
        <w:spacing w:beforeAutospacing="0" w:afterAutospacing="0" w:line="480" w:lineRule="atLeast"/>
        <w:ind w:firstLine="420"/>
        <w:rPr>
          <w:rFonts w:hint="default" w:cs="宋体"/>
          <w:color w:val="333333"/>
          <w:sz w:val="24"/>
          <w:szCs w:val="24"/>
        </w:rPr>
      </w:pPr>
      <w:r>
        <w:rPr>
          <w:rFonts w:cs="宋体"/>
          <w:color w:val="333333"/>
          <w:sz w:val="24"/>
          <w:szCs w:val="24"/>
          <w:shd w:val="clear" w:color="auto" w:fill="FFFFFF"/>
        </w:rPr>
        <w:t>11、采购人：福建省宁德监狱</w:t>
      </w:r>
    </w:p>
    <w:p w14:paraId="0B4BFEE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地址：福建省宁德市蕉城区金涵乡南洋厝17号</w:t>
      </w:r>
    </w:p>
    <w:p w14:paraId="46B9A60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邮编：352000</w:t>
      </w:r>
    </w:p>
    <w:p w14:paraId="0BAFAC4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联系人：吴警官</w:t>
      </w:r>
    </w:p>
    <w:p w14:paraId="78F70B6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联系电话：0593-2220568</w:t>
      </w:r>
    </w:p>
    <w:p w14:paraId="678B1146">
      <w:pPr>
        <w:pStyle w:val="6"/>
        <w:widowControl/>
        <w:shd w:val="clear" w:color="auto" w:fill="FFFFFF"/>
        <w:spacing w:beforeAutospacing="0" w:afterAutospacing="0" w:line="480" w:lineRule="atLeast"/>
        <w:ind w:firstLine="420"/>
        <w:rPr>
          <w:rFonts w:hint="default" w:cs="宋体"/>
          <w:color w:val="333333"/>
          <w:sz w:val="24"/>
          <w:szCs w:val="24"/>
        </w:rPr>
      </w:pPr>
      <w:r>
        <w:rPr>
          <w:rFonts w:cs="宋体"/>
          <w:color w:val="333333"/>
          <w:sz w:val="24"/>
          <w:szCs w:val="24"/>
          <w:shd w:val="clear" w:color="auto" w:fill="FFFFFF"/>
        </w:rPr>
        <w:t>12、代理机构：福建省新卫招标代理有限公司</w:t>
      </w:r>
    </w:p>
    <w:p w14:paraId="72A5C843">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地址：福建省福州市鼓楼区西二环中路301号东南医药大楼6层</w:t>
      </w:r>
    </w:p>
    <w:p w14:paraId="3BE02300">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邮编：350025</w:t>
      </w:r>
    </w:p>
    <w:p w14:paraId="08DDE815">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联系人：蔡华凯、王慧婧</w:t>
      </w:r>
    </w:p>
    <w:p w14:paraId="27E5A0C1">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联系电话：0591-87807330</w:t>
      </w:r>
    </w:p>
    <w:p w14:paraId="6F6725F6">
      <w:pPr>
        <w:pStyle w:val="6"/>
        <w:widowControl/>
        <w:shd w:val="clear" w:color="auto" w:fill="FFFFFF"/>
        <w:spacing w:beforeAutospacing="0" w:afterAutospacing="0" w:line="480" w:lineRule="atLeast"/>
        <w:ind w:firstLine="420"/>
        <w:jc w:val="both"/>
        <w:rPr>
          <w:rFonts w:hint="default" w:cs="宋体"/>
          <w:color w:val="333333"/>
          <w:sz w:val="24"/>
          <w:szCs w:val="24"/>
        </w:rPr>
      </w:pPr>
      <w:r>
        <w:rPr>
          <w:rFonts w:cs="宋体"/>
          <w:color w:val="333333"/>
          <w:sz w:val="24"/>
          <w:szCs w:val="24"/>
          <w:shd w:val="clear" w:color="auto" w:fill="FFFFFF"/>
        </w:rPr>
        <w:t>附1：账户信息</w:t>
      </w:r>
    </w:p>
    <w:tbl>
      <w:tblPr>
        <w:tblStyle w:val="17"/>
        <w:tblW w:w="8546" w:type="dxa"/>
        <w:tblInd w:w="0" w:type="dxa"/>
        <w:shd w:val="clear" w:color="auto" w:fill="FFFFFF"/>
        <w:tblLayout w:type="fixed"/>
        <w:tblCellMar>
          <w:top w:w="0" w:type="dxa"/>
          <w:left w:w="0" w:type="dxa"/>
          <w:bottom w:w="0" w:type="dxa"/>
          <w:right w:w="0" w:type="dxa"/>
        </w:tblCellMar>
      </w:tblPr>
      <w:tblGrid>
        <w:gridCol w:w="8546"/>
      </w:tblGrid>
      <w:tr w14:paraId="5727DB8D">
        <w:tblPrEx>
          <w:shd w:val="clear" w:color="auto" w:fill="FFFFFF"/>
          <w:tblCellMar>
            <w:top w:w="0" w:type="dxa"/>
            <w:left w:w="0" w:type="dxa"/>
            <w:bottom w:w="0" w:type="dxa"/>
            <w:right w:w="0" w:type="dxa"/>
          </w:tblCellMar>
        </w:tblPrEx>
        <w:tc>
          <w:tcPr>
            <w:tcW w:w="854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D6434E5">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投标保证金账户</w:t>
            </w:r>
          </w:p>
        </w:tc>
      </w:tr>
      <w:tr w14:paraId="3BB6AFBC">
        <w:tblPrEx>
          <w:shd w:val="clear" w:color="auto" w:fill="FFFFFF"/>
          <w:tblCellMar>
            <w:top w:w="0" w:type="dxa"/>
            <w:left w:w="0" w:type="dxa"/>
            <w:bottom w:w="0" w:type="dxa"/>
            <w:right w:w="0" w:type="dxa"/>
          </w:tblCellMar>
        </w:tblPrEx>
        <w:tc>
          <w:tcPr>
            <w:tcW w:w="854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3C12F0F">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开户名称： 福建省新卫招标代理有限公司</w:t>
            </w:r>
          </w:p>
        </w:tc>
      </w:tr>
      <w:tr w14:paraId="0782A65E">
        <w:tblPrEx>
          <w:shd w:val="clear" w:color="auto" w:fill="FFFFFF"/>
          <w:tblCellMar>
            <w:top w:w="0" w:type="dxa"/>
            <w:left w:w="0" w:type="dxa"/>
            <w:bottom w:w="0" w:type="dxa"/>
            <w:right w:w="0" w:type="dxa"/>
          </w:tblCellMar>
        </w:tblPrEx>
        <w:tc>
          <w:tcPr>
            <w:tcW w:w="854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6D67635">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开户银行：供应商在福建省政府采购网上公开信息系统获取招标文件后，根据其提示自行选择要缴交的投标保证金托管银行。</w:t>
            </w:r>
          </w:p>
        </w:tc>
      </w:tr>
      <w:tr w14:paraId="6ECE2726">
        <w:tblPrEx>
          <w:tblCellMar>
            <w:top w:w="0" w:type="dxa"/>
            <w:left w:w="0" w:type="dxa"/>
            <w:bottom w:w="0" w:type="dxa"/>
            <w:right w:w="0" w:type="dxa"/>
          </w:tblCellMar>
        </w:tblPrEx>
        <w:tc>
          <w:tcPr>
            <w:tcW w:w="854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A9EBFC3">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4E88667">
        <w:tblPrEx>
          <w:tblCellMar>
            <w:top w:w="0" w:type="dxa"/>
            <w:left w:w="0" w:type="dxa"/>
            <w:bottom w:w="0" w:type="dxa"/>
            <w:right w:w="0" w:type="dxa"/>
          </w:tblCellMar>
        </w:tblPrEx>
        <w:tc>
          <w:tcPr>
            <w:tcW w:w="854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A4BDC3E">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特别提示</w:t>
            </w:r>
          </w:p>
        </w:tc>
      </w:tr>
      <w:tr w14:paraId="3D306FDD">
        <w:tblPrEx>
          <w:shd w:val="clear" w:color="auto" w:fill="FFFFFF"/>
          <w:tblCellMar>
            <w:top w:w="0" w:type="dxa"/>
            <w:left w:w="0" w:type="dxa"/>
            <w:bottom w:w="0" w:type="dxa"/>
            <w:right w:w="0" w:type="dxa"/>
          </w:tblCellMar>
        </w:tblPrEx>
        <w:tc>
          <w:tcPr>
            <w:tcW w:w="854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11798B8">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1、投标人应认真核对账户信息，将投标保证金汇入以上账户，并自行承担因汇错投标保证金而产生的一切后果。</w:t>
            </w:r>
          </w:p>
          <w:p w14:paraId="591C0583">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2、投标人在转账或电汇的凭证上应按照以下格式注明，以便核对：“（项目编号：***）的投标保证金”。</w:t>
            </w:r>
          </w:p>
        </w:tc>
      </w:tr>
    </w:tbl>
    <w:p w14:paraId="4A1EC559">
      <w:pPr>
        <w:pStyle w:val="6"/>
        <w:widowControl/>
        <w:shd w:val="clear" w:color="auto" w:fill="FFFFFF"/>
        <w:spacing w:beforeAutospacing="0" w:afterAutospacing="0" w:line="480" w:lineRule="atLeast"/>
        <w:ind w:firstLine="420"/>
        <w:jc w:val="both"/>
        <w:rPr>
          <w:rFonts w:hint="default" w:cs="宋体"/>
          <w:color w:val="333333"/>
          <w:sz w:val="24"/>
          <w:szCs w:val="24"/>
        </w:rPr>
      </w:pPr>
      <w:r>
        <w:rPr>
          <w:rFonts w:cs="宋体"/>
          <w:color w:val="333333"/>
          <w:sz w:val="24"/>
          <w:szCs w:val="24"/>
          <w:shd w:val="clear" w:color="auto" w:fill="FFFFFF"/>
        </w:rPr>
        <w:t>附2：采购标的一览表</w:t>
      </w:r>
    </w:p>
    <w:p w14:paraId="6A97858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采购包1：860,400.00</w:t>
      </w:r>
    </w:p>
    <w:p w14:paraId="31B4BEE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采购包预算金额（元）: 860,400.00</w:t>
      </w:r>
    </w:p>
    <w:p w14:paraId="099BBD9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采购包最高限价（元）: 860,400.00</w:t>
      </w:r>
    </w:p>
    <w:p w14:paraId="7BC0598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采购包保证金金额（元）: 8,604.00</w:t>
      </w:r>
    </w:p>
    <w:tbl>
      <w:tblPr>
        <w:tblStyle w:val="17"/>
        <w:tblW w:w="854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0"/>
        <w:gridCol w:w="2654"/>
        <w:gridCol w:w="610"/>
        <w:gridCol w:w="1546"/>
        <w:gridCol w:w="869"/>
        <w:gridCol w:w="869"/>
        <w:gridCol w:w="1388"/>
      </w:tblGrid>
      <w:tr w14:paraId="469B9C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E49D2F5">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序号</w:t>
            </w:r>
          </w:p>
        </w:tc>
        <w:tc>
          <w:tcPr>
            <w:tcW w:w="265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96CEC40">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标的名称</w:t>
            </w:r>
          </w:p>
        </w:tc>
        <w:tc>
          <w:tcPr>
            <w:tcW w:w="61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F2FDEEF">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数量</w:t>
            </w:r>
          </w:p>
        </w:tc>
        <w:tc>
          <w:tcPr>
            <w:tcW w:w="154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CD11F16">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标的金额 （元）</w:t>
            </w:r>
          </w:p>
        </w:tc>
        <w:tc>
          <w:tcPr>
            <w:tcW w:w="86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38E4DC2">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计量单位</w:t>
            </w:r>
          </w:p>
        </w:tc>
        <w:tc>
          <w:tcPr>
            <w:tcW w:w="86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4665D11">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所属行业</w:t>
            </w:r>
          </w:p>
        </w:tc>
        <w:tc>
          <w:tcPr>
            <w:tcW w:w="1388"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BE1DC77">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是否允许进口产品</w:t>
            </w:r>
          </w:p>
        </w:tc>
      </w:tr>
      <w:tr w14:paraId="70A7BA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D0A4F6">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1</w:t>
            </w:r>
          </w:p>
        </w:tc>
        <w:tc>
          <w:tcPr>
            <w:tcW w:w="26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3A2848">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宁德监狱监门一体化平台采购（货物）</w:t>
            </w:r>
          </w:p>
        </w:tc>
        <w:tc>
          <w:tcPr>
            <w:tcW w:w="6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17D55D">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1.00</w:t>
            </w:r>
          </w:p>
        </w:tc>
        <w:tc>
          <w:tcPr>
            <w:tcW w:w="154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24EB570">
            <w:pPr>
              <w:widowControl/>
              <w:wordWrap w:val="0"/>
              <w:spacing w:line="480" w:lineRule="atLeast"/>
              <w:jc w:val="center"/>
              <w:rPr>
                <w:rFonts w:ascii="宋体" w:hAnsi="宋体" w:eastAsia="宋体" w:cs="宋体"/>
                <w:sz w:val="24"/>
              </w:rPr>
            </w:pPr>
            <w:r>
              <w:rPr>
                <w:rFonts w:hint="eastAsia" w:ascii="宋体" w:hAnsi="宋体" w:eastAsia="宋体" w:cs="宋体"/>
                <w:color w:val="333333"/>
                <w:sz w:val="24"/>
                <w:shd w:val="clear" w:color="auto" w:fill="FFFFFF"/>
              </w:rPr>
              <w:t>860,400.00</w:t>
            </w:r>
          </w:p>
        </w:tc>
        <w:tc>
          <w:tcPr>
            <w:tcW w:w="86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7E7035">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批</w:t>
            </w:r>
          </w:p>
        </w:tc>
        <w:tc>
          <w:tcPr>
            <w:tcW w:w="86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ACA751">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工业</w:t>
            </w:r>
          </w:p>
        </w:tc>
        <w:tc>
          <w:tcPr>
            <w:tcW w:w="138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26D4B7">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否</w:t>
            </w:r>
          </w:p>
        </w:tc>
      </w:tr>
    </w:tbl>
    <w:p w14:paraId="42FFB0A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采购包1：</w:t>
      </w:r>
    </w:p>
    <w:p w14:paraId="44D89B7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（1）报价要求：</w:t>
      </w:r>
    </w:p>
    <w:tbl>
      <w:tblPr>
        <w:tblStyle w:val="17"/>
        <w:tblW w:w="854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36"/>
        <w:gridCol w:w="3032"/>
        <w:gridCol w:w="945"/>
        <w:gridCol w:w="945"/>
        <w:gridCol w:w="1097"/>
        <w:gridCol w:w="945"/>
        <w:gridCol w:w="946"/>
      </w:tblGrid>
      <w:tr w14:paraId="311180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3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2422ABA">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序号</w:t>
            </w:r>
          </w:p>
        </w:tc>
        <w:tc>
          <w:tcPr>
            <w:tcW w:w="3032"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460A5FB">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报价内容</w:t>
            </w:r>
          </w:p>
        </w:tc>
        <w:tc>
          <w:tcPr>
            <w:tcW w:w="94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C3206D3">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计量单位</w:t>
            </w:r>
          </w:p>
        </w:tc>
        <w:tc>
          <w:tcPr>
            <w:tcW w:w="94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B927048">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报价单位</w:t>
            </w:r>
          </w:p>
        </w:tc>
        <w:tc>
          <w:tcPr>
            <w:tcW w:w="109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87158F0">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最高限价</w:t>
            </w:r>
          </w:p>
        </w:tc>
        <w:tc>
          <w:tcPr>
            <w:tcW w:w="94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EA0E40A">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价款形式</w:t>
            </w:r>
          </w:p>
        </w:tc>
        <w:tc>
          <w:tcPr>
            <w:tcW w:w="94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6B734FC">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报价说明</w:t>
            </w:r>
          </w:p>
        </w:tc>
      </w:tr>
      <w:tr w14:paraId="0CD0C5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3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DC4F04">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1</w:t>
            </w:r>
          </w:p>
        </w:tc>
        <w:tc>
          <w:tcPr>
            <w:tcW w:w="303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E18868">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宁德监狱监门一体化平台采购（货物）</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65E3B3">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批</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7DAE7C">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元</w:t>
            </w:r>
          </w:p>
        </w:tc>
        <w:tc>
          <w:tcPr>
            <w:tcW w:w="109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DC0CA8">
            <w:pPr>
              <w:widowControl/>
              <w:wordWrap w:val="0"/>
              <w:spacing w:line="480" w:lineRule="atLeast"/>
              <w:jc w:val="center"/>
              <w:rPr>
                <w:rFonts w:ascii="宋体" w:hAnsi="宋体" w:eastAsia="宋体" w:cs="宋体"/>
                <w:sz w:val="24"/>
              </w:rPr>
            </w:pPr>
            <w:r>
              <w:rPr>
                <w:rFonts w:hint="eastAsia" w:ascii="宋体" w:hAnsi="宋体" w:eastAsia="宋体" w:cs="宋体"/>
                <w:color w:val="333333"/>
                <w:sz w:val="24"/>
                <w:shd w:val="clear" w:color="auto" w:fill="FFFFFF"/>
              </w:rPr>
              <w:t>860,400.00</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F8A3B94">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总价</w:t>
            </w:r>
          </w:p>
        </w:tc>
        <w:tc>
          <w:tcPr>
            <w:tcW w:w="94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C9C1FE">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无</w:t>
            </w:r>
          </w:p>
        </w:tc>
      </w:tr>
    </w:tbl>
    <w:p w14:paraId="06E857C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（2）报价明细要求：</w:t>
      </w:r>
    </w:p>
    <w:p w14:paraId="480905D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宁德监狱监门一体化平台采购（货物）</w:t>
      </w:r>
    </w:p>
    <w:tbl>
      <w:tblPr>
        <w:tblStyle w:val="17"/>
        <w:tblW w:w="854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5"/>
        <w:gridCol w:w="1715"/>
        <w:gridCol w:w="2180"/>
        <w:gridCol w:w="853"/>
        <w:gridCol w:w="684"/>
        <w:gridCol w:w="960"/>
        <w:gridCol w:w="774"/>
        <w:gridCol w:w="775"/>
      </w:tblGrid>
      <w:tr w14:paraId="52ABEF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FE91A2B">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序号</w:t>
            </w:r>
          </w:p>
        </w:tc>
        <w:tc>
          <w:tcPr>
            <w:tcW w:w="171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F6289F0">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报价明细内容</w:t>
            </w:r>
          </w:p>
        </w:tc>
        <w:tc>
          <w:tcPr>
            <w:tcW w:w="218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0B271A4">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报价要求</w:t>
            </w:r>
          </w:p>
        </w:tc>
        <w:tc>
          <w:tcPr>
            <w:tcW w:w="853"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F713DC4">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计量单位</w:t>
            </w:r>
          </w:p>
        </w:tc>
        <w:tc>
          <w:tcPr>
            <w:tcW w:w="68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30E1D2B">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报价单位</w:t>
            </w:r>
          </w:p>
        </w:tc>
        <w:tc>
          <w:tcPr>
            <w:tcW w:w="96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7F2BDA7">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最高限价</w:t>
            </w:r>
          </w:p>
        </w:tc>
        <w:tc>
          <w:tcPr>
            <w:tcW w:w="77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D4DD330">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价款形式</w:t>
            </w:r>
          </w:p>
        </w:tc>
        <w:tc>
          <w:tcPr>
            <w:tcW w:w="77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2454BA7">
            <w:pPr>
              <w:widowControl/>
              <w:wordWrap w:val="0"/>
              <w:spacing w:line="480" w:lineRule="atLeast"/>
              <w:jc w:val="center"/>
              <w:rPr>
                <w:rFonts w:ascii="宋体" w:hAnsi="宋体" w:eastAsia="宋体" w:cs="宋体"/>
                <w:b/>
                <w:bCs/>
                <w:sz w:val="24"/>
              </w:rPr>
            </w:pPr>
            <w:r>
              <w:rPr>
                <w:rFonts w:hint="eastAsia" w:ascii="宋体" w:hAnsi="宋体" w:eastAsia="宋体" w:cs="宋体"/>
                <w:b/>
                <w:bCs/>
                <w:kern w:val="0"/>
                <w:sz w:val="24"/>
              </w:rPr>
              <w:t>报价说明</w:t>
            </w:r>
          </w:p>
        </w:tc>
      </w:tr>
      <w:tr w14:paraId="7AAE2C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327A3C">
            <w:pPr>
              <w:widowControl/>
              <w:spacing w:line="480" w:lineRule="exact"/>
              <w:jc w:val="center"/>
              <w:rPr>
                <w:rFonts w:ascii="宋体" w:hAnsi="宋体" w:eastAsia="宋体" w:cs="宋体"/>
                <w:sz w:val="24"/>
              </w:rPr>
            </w:pPr>
            <w:r>
              <w:rPr>
                <w:rFonts w:hint="eastAsia" w:ascii="宋体" w:hAnsi="宋体" w:cs="宋体"/>
                <w:kern w:val="0"/>
                <w:sz w:val="24"/>
              </w:rPr>
              <w:t>1</w:t>
            </w:r>
          </w:p>
        </w:tc>
        <w:tc>
          <w:tcPr>
            <w:tcW w:w="17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2B8C3E">
            <w:pPr>
              <w:widowControl/>
              <w:spacing w:line="480" w:lineRule="exact"/>
              <w:jc w:val="center"/>
              <w:rPr>
                <w:rFonts w:ascii="宋体" w:hAnsi="宋体" w:eastAsia="宋体" w:cs="宋体"/>
                <w:sz w:val="24"/>
              </w:rPr>
            </w:pPr>
            <w:r>
              <w:rPr>
                <w:rFonts w:hint="eastAsia" w:ascii="宋体" w:hAnsi="宋体" w:cs="宋体"/>
                <w:kern w:val="0"/>
                <w:sz w:val="24"/>
              </w:rPr>
              <w:t>外协进出管理系统</w:t>
            </w:r>
          </w:p>
        </w:tc>
        <w:tc>
          <w:tcPr>
            <w:tcW w:w="21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988286">
            <w:pPr>
              <w:widowControl/>
              <w:spacing w:line="480" w:lineRule="exact"/>
              <w:jc w:val="center"/>
              <w:rPr>
                <w:rFonts w:ascii="宋体" w:hAnsi="宋体" w:eastAsia="宋体" w:cs="宋体"/>
                <w:sz w:val="24"/>
              </w:rPr>
            </w:pPr>
            <w:r>
              <w:rPr>
                <w:rFonts w:hint="eastAsia" w:ascii="宋体" w:hAnsi="宋体" w:cs="宋体"/>
                <w:kern w:val="0"/>
                <w:sz w:val="24"/>
              </w:rPr>
              <w:t>外协进出管理系统</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0DE807A">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批</w:t>
            </w:r>
          </w:p>
        </w:tc>
        <w:tc>
          <w:tcPr>
            <w:tcW w:w="6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08F681">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758ABDE">
            <w:pPr>
              <w:widowControl/>
              <w:jc w:val="center"/>
              <w:textAlignment w:val="center"/>
              <w:rPr>
                <w:rFonts w:ascii="宋体" w:hAnsi="宋体" w:eastAsia="宋体" w:cs="宋体"/>
                <w:sz w:val="24"/>
              </w:rPr>
            </w:pPr>
            <w:r>
              <w:rPr>
                <w:rFonts w:hint="eastAsia" w:ascii="宋体" w:hAnsi="宋体" w:eastAsia="宋体" w:cs="宋体"/>
                <w:color w:val="000000"/>
                <w:kern w:val="0"/>
                <w:sz w:val="24"/>
              </w:rPr>
              <w:t>178000</w:t>
            </w:r>
          </w:p>
        </w:tc>
        <w:tc>
          <w:tcPr>
            <w:tcW w:w="7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CBA8C22">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总价</w:t>
            </w:r>
          </w:p>
        </w:tc>
        <w:tc>
          <w:tcPr>
            <w:tcW w:w="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EE1E4E">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无</w:t>
            </w:r>
          </w:p>
        </w:tc>
      </w:tr>
      <w:tr w14:paraId="7DBB7C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99A39A">
            <w:pPr>
              <w:widowControl/>
              <w:spacing w:line="480" w:lineRule="exact"/>
              <w:jc w:val="center"/>
              <w:rPr>
                <w:rFonts w:ascii="宋体" w:hAnsi="宋体" w:eastAsia="宋体" w:cs="宋体"/>
                <w:kern w:val="0"/>
                <w:sz w:val="24"/>
              </w:rPr>
            </w:pPr>
            <w:r>
              <w:rPr>
                <w:rFonts w:hint="eastAsia" w:ascii="宋体" w:hAnsi="宋体" w:cs="宋体"/>
                <w:kern w:val="0"/>
                <w:sz w:val="24"/>
              </w:rPr>
              <w:t>2</w:t>
            </w:r>
          </w:p>
        </w:tc>
        <w:tc>
          <w:tcPr>
            <w:tcW w:w="17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5B91112">
            <w:pPr>
              <w:widowControl/>
              <w:spacing w:line="480" w:lineRule="exact"/>
              <w:jc w:val="center"/>
              <w:rPr>
                <w:rFonts w:ascii="宋体" w:hAnsi="宋体" w:eastAsia="宋体" w:cs="宋体"/>
                <w:kern w:val="0"/>
                <w:sz w:val="24"/>
              </w:rPr>
            </w:pPr>
            <w:r>
              <w:rPr>
                <w:rFonts w:hint="eastAsia" w:ascii="宋体" w:hAnsi="宋体" w:cs="宋体"/>
                <w:kern w:val="0"/>
                <w:sz w:val="24"/>
              </w:rPr>
              <w:t>工具进出管理系统</w:t>
            </w:r>
          </w:p>
        </w:tc>
        <w:tc>
          <w:tcPr>
            <w:tcW w:w="21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66A094">
            <w:pPr>
              <w:widowControl/>
              <w:spacing w:line="480" w:lineRule="exact"/>
              <w:jc w:val="center"/>
              <w:rPr>
                <w:rFonts w:ascii="宋体" w:hAnsi="宋体" w:eastAsia="宋体" w:cs="宋体"/>
                <w:kern w:val="0"/>
                <w:sz w:val="24"/>
              </w:rPr>
            </w:pPr>
            <w:r>
              <w:rPr>
                <w:rFonts w:hint="eastAsia" w:ascii="宋体" w:hAnsi="宋体" w:cs="宋体"/>
                <w:kern w:val="0"/>
                <w:sz w:val="24"/>
              </w:rPr>
              <w:t>工具进出管理系统</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73EF0FD">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套</w:t>
            </w:r>
          </w:p>
        </w:tc>
        <w:tc>
          <w:tcPr>
            <w:tcW w:w="6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355436">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DA79FB">
            <w:pPr>
              <w:widowControl/>
              <w:jc w:val="center"/>
              <w:textAlignment w:val="center"/>
              <w:rPr>
                <w:rFonts w:ascii="宋体" w:hAnsi="宋体" w:eastAsia="宋体" w:cs="宋体"/>
                <w:color w:val="333333"/>
                <w:sz w:val="24"/>
                <w:shd w:val="clear" w:color="auto" w:fill="FFFFFF"/>
              </w:rPr>
            </w:pPr>
            <w:r>
              <w:rPr>
                <w:rFonts w:hint="eastAsia" w:ascii="宋体" w:hAnsi="宋体" w:eastAsia="宋体" w:cs="宋体"/>
                <w:color w:val="000000"/>
                <w:kern w:val="0"/>
                <w:sz w:val="24"/>
              </w:rPr>
              <w:t>59000</w:t>
            </w:r>
          </w:p>
        </w:tc>
        <w:tc>
          <w:tcPr>
            <w:tcW w:w="7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5D97B3">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总价</w:t>
            </w:r>
          </w:p>
        </w:tc>
        <w:tc>
          <w:tcPr>
            <w:tcW w:w="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BF2996">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无</w:t>
            </w:r>
          </w:p>
        </w:tc>
      </w:tr>
      <w:tr w14:paraId="43EE7F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E27E21">
            <w:pPr>
              <w:widowControl/>
              <w:spacing w:line="480" w:lineRule="exact"/>
              <w:jc w:val="center"/>
              <w:rPr>
                <w:rFonts w:ascii="宋体" w:hAnsi="宋体" w:eastAsia="宋体" w:cs="宋体"/>
                <w:kern w:val="0"/>
                <w:sz w:val="24"/>
              </w:rPr>
            </w:pPr>
            <w:r>
              <w:rPr>
                <w:rFonts w:hint="eastAsia" w:ascii="宋体" w:hAnsi="宋体" w:cs="宋体"/>
                <w:kern w:val="0"/>
                <w:sz w:val="24"/>
              </w:rPr>
              <w:t>3</w:t>
            </w:r>
          </w:p>
        </w:tc>
        <w:tc>
          <w:tcPr>
            <w:tcW w:w="17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D40923">
            <w:pPr>
              <w:widowControl/>
              <w:spacing w:line="480" w:lineRule="exact"/>
              <w:jc w:val="center"/>
              <w:rPr>
                <w:rFonts w:ascii="宋体" w:hAnsi="宋体" w:eastAsia="宋体" w:cs="宋体"/>
                <w:kern w:val="0"/>
                <w:sz w:val="24"/>
              </w:rPr>
            </w:pPr>
            <w:r>
              <w:rPr>
                <w:rFonts w:hint="eastAsia" w:ascii="宋体" w:hAnsi="宋体" w:cs="宋体"/>
                <w:kern w:val="0"/>
                <w:sz w:val="24"/>
              </w:rPr>
              <w:t>刑释/零星外出管理系统</w:t>
            </w:r>
          </w:p>
        </w:tc>
        <w:tc>
          <w:tcPr>
            <w:tcW w:w="21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B54233">
            <w:pPr>
              <w:widowControl/>
              <w:spacing w:line="480" w:lineRule="exact"/>
              <w:jc w:val="center"/>
              <w:rPr>
                <w:rFonts w:ascii="宋体" w:hAnsi="宋体" w:eastAsia="宋体" w:cs="宋体"/>
                <w:kern w:val="0"/>
                <w:sz w:val="24"/>
              </w:rPr>
            </w:pPr>
            <w:r>
              <w:rPr>
                <w:rFonts w:hint="eastAsia" w:ascii="宋体" w:hAnsi="宋体" w:cs="宋体"/>
                <w:kern w:val="0"/>
                <w:sz w:val="24"/>
              </w:rPr>
              <w:t>刑释/零星外出管理系统</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12E441">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套</w:t>
            </w:r>
          </w:p>
        </w:tc>
        <w:tc>
          <w:tcPr>
            <w:tcW w:w="6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F234A75">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099062">
            <w:pPr>
              <w:widowControl/>
              <w:jc w:val="center"/>
              <w:textAlignment w:val="center"/>
              <w:rPr>
                <w:rFonts w:ascii="宋体" w:hAnsi="宋体" w:eastAsia="宋体" w:cs="宋体"/>
                <w:color w:val="333333"/>
                <w:sz w:val="24"/>
                <w:shd w:val="clear" w:color="auto" w:fill="FFFFFF"/>
              </w:rPr>
            </w:pPr>
            <w:r>
              <w:rPr>
                <w:rFonts w:hint="eastAsia" w:ascii="宋体" w:hAnsi="宋体" w:eastAsia="宋体" w:cs="宋体"/>
                <w:color w:val="000000"/>
                <w:kern w:val="0"/>
                <w:sz w:val="24"/>
              </w:rPr>
              <w:t>108000</w:t>
            </w:r>
          </w:p>
        </w:tc>
        <w:tc>
          <w:tcPr>
            <w:tcW w:w="7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4FB4A5D">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总价</w:t>
            </w:r>
          </w:p>
        </w:tc>
        <w:tc>
          <w:tcPr>
            <w:tcW w:w="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3128B4">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无</w:t>
            </w:r>
          </w:p>
        </w:tc>
      </w:tr>
      <w:tr w14:paraId="74D23B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B818A9">
            <w:pPr>
              <w:widowControl/>
              <w:spacing w:line="480" w:lineRule="exact"/>
              <w:jc w:val="center"/>
              <w:rPr>
                <w:rFonts w:ascii="宋体" w:hAnsi="宋体" w:eastAsia="宋体" w:cs="宋体"/>
                <w:kern w:val="0"/>
                <w:sz w:val="24"/>
              </w:rPr>
            </w:pPr>
            <w:r>
              <w:rPr>
                <w:rFonts w:hint="eastAsia" w:ascii="宋体" w:hAnsi="宋体" w:cs="宋体"/>
                <w:kern w:val="0"/>
                <w:sz w:val="24"/>
              </w:rPr>
              <w:t>4</w:t>
            </w:r>
          </w:p>
        </w:tc>
        <w:tc>
          <w:tcPr>
            <w:tcW w:w="17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05A1942">
            <w:pPr>
              <w:widowControl/>
              <w:spacing w:line="480" w:lineRule="exact"/>
              <w:jc w:val="center"/>
              <w:rPr>
                <w:rFonts w:ascii="宋体" w:hAnsi="宋体" w:eastAsia="宋体" w:cs="宋体"/>
                <w:kern w:val="0"/>
                <w:sz w:val="24"/>
              </w:rPr>
            </w:pPr>
            <w:r>
              <w:rPr>
                <w:rFonts w:hint="eastAsia" w:ascii="宋体" w:hAnsi="宋体" w:cs="宋体"/>
                <w:kern w:val="0"/>
                <w:sz w:val="24"/>
              </w:rPr>
              <w:t>车道管理系统</w:t>
            </w:r>
          </w:p>
        </w:tc>
        <w:tc>
          <w:tcPr>
            <w:tcW w:w="21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F44F5A">
            <w:pPr>
              <w:widowControl/>
              <w:spacing w:line="480" w:lineRule="exact"/>
              <w:jc w:val="center"/>
              <w:rPr>
                <w:rFonts w:ascii="宋体" w:hAnsi="宋体" w:eastAsia="宋体" w:cs="宋体"/>
                <w:kern w:val="0"/>
                <w:sz w:val="24"/>
              </w:rPr>
            </w:pPr>
            <w:r>
              <w:rPr>
                <w:rFonts w:hint="eastAsia" w:ascii="宋体" w:hAnsi="宋体" w:cs="宋体"/>
                <w:kern w:val="0"/>
                <w:sz w:val="24"/>
              </w:rPr>
              <w:t>车道管理系统</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06C295">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套</w:t>
            </w:r>
          </w:p>
        </w:tc>
        <w:tc>
          <w:tcPr>
            <w:tcW w:w="6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A22C020">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2A09C6C">
            <w:pPr>
              <w:widowControl/>
              <w:jc w:val="center"/>
              <w:textAlignment w:val="center"/>
              <w:rPr>
                <w:rFonts w:ascii="宋体" w:hAnsi="宋体" w:eastAsia="宋体" w:cs="宋体"/>
                <w:color w:val="333333"/>
                <w:sz w:val="24"/>
                <w:shd w:val="clear" w:color="auto" w:fill="FFFFFF"/>
              </w:rPr>
            </w:pPr>
            <w:r>
              <w:rPr>
                <w:rFonts w:hint="eastAsia" w:ascii="宋体" w:hAnsi="宋体" w:eastAsia="宋体" w:cs="宋体"/>
                <w:color w:val="000000"/>
                <w:kern w:val="0"/>
                <w:sz w:val="24"/>
              </w:rPr>
              <w:t>95000</w:t>
            </w:r>
          </w:p>
        </w:tc>
        <w:tc>
          <w:tcPr>
            <w:tcW w:w="7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44165A2">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总价</w:t>
            </w:r>
          </w:p>
        </w:tc>
        <w:tc>
          <w:tcPr>
            <w:tcW w:w="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51DACE">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无</w:t>
            </w:r>
          </w:p>
        </w:tc>
      </w:tr>
      <w:tr w14:paraId="37A0C7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39B5E3">
            <w:pPr>
              <w:widowControl/>
              <w:spacing w:line="480" w:lineRule="exact"/>
              <w:jc w:val="center"/>
              <w:rPr>
                <w:rFonts w:ascii="宋体" w:hAnsi="宋体" w:eastAsia="宋体" w:cs="宋体"/>
                <w:kern w:val="0"/>
                <w:sz w:val="24"/>
              </w:rPr>
            </w:pPr>
            <w:r>
              <w:rPr>
                <w:rFonts w:hint="eastAsia" w:ascii="宋体" w:hAnsi="宋体" w:cs="宋体"/>
                <w:kern w:val="0"/>
                <w:sz w:val="24"/>
              </w:rPr>
              <w:t>5</w:t>
            </w:r>
          </w:p>
        </w:tc>
        <w:tc>
          <w:tcPr>
            <w:tcW w:w="17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0822813">
            <w:pPr>
              <w:widowControl/>
              <w:spacing w:line="480" w:lineRule="exact"/>
              <w:jc w:val="center"/>
              <w:rPr>
                <w:rFonts w:ascii="宋体" w:hAnsi="宋体" w:eastAsia="宋体" w:cs="宋体"/>
                <w:kern w:val="0"/>
                <w:sz w:val="24"/>
              </w:rPr>
            </w:pPr>
            <w:r>
              <w:rPr>
                <w:rFonts w:hint="eastAsia" w:ascii="宋体" w:hAnsi="宋体" w:cs="宋体"/>
                <w:kern w:val="0"/>
                <w:sz w:val="24"/>
              </w:rPr>
              <w:t>警务通手机监门管理APP</w:t>
            </w:r>
          </w:p>
        </w:tc>
        <w:tc>
          <w:tcPr>
            <w:tcW w:w="21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7763B6">
            <w:pPr>
              <w:widowControl/>
              <w:spacing w:line="480" w:lineRule="exact"/>
              <w:jc w:val="center"/>
              <w:rPr>
                <w:rFonts w:ascii="宋体" w:hAnsi="宋体" w:eastAsia="宋体" w:cs="宋体"/>
                <w:kern w:val="0"/>
                <w:sz w:val="24"/>
              </w:rPr>
            </w:pPr>
            <w:r>
              <w:rPr>
                <w:rFonts w:hint="eastAsia" w:ascii="宋体" w:hAnsi="宋体" w:cs="宋体"/>
                <w:kern w:val="0"/>
                <w:sz w:val="24"/>
              </w:rPr>
              <w:t>警务通手机监门管理APP</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5AF572">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套</w:t>
            </w:r>
          </w:p>
        </w:tc>
        <w:tc>
          <w:tcPr>
            <w:tcW w:w="6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AB9AEE">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F67558">
            <w:pPr>
              <w:widowControl/>
              <w:jc w:val="center"/>
              <w:textAlignment w:val="center"/>
              <w:rPr>
                <w:rFonts w:ascii="宋体" w:hAnsi="宋体" w:eastAsia="宋体" w:cs="宋体"/>
                <w:color w:val="333333"/>
                <w:sz w:val="24"/>
                <w:shd w:val="clear" w:color="auto" w:fill="FFFFFF"/>
              </w:rPr>
            </w:pPr>
            <w:r>
              <w:rPr>
                <w:rFonts w:hint="eastAsia" w:ascii="宋体" w:hAnsi="宋体" w:eastAsia="宋体" w:cs="宋体"/>
                <w:color w:val="000000"/>
                <w:kern w:val="0"/>
                <w:sz w:val="24"/>
              </w:rPr>
              <w:t>97000</w:t>
            </w:r>
          </w:p>
        </w:tc>
        <w:tc>
          <w:tcPr>
            <w:tcW w:w="7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0D89FE">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总价</w:t>
            </w:r>
          </w:p>
        </w:tc>
        <w:tc>
          <w:tcPr>
            <w:tcW w:w="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0CEAC8">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无</w:t>
            </w:r>
          </w:p>
        </w:tc>
      </w:tr>
      <w:tr w14:paraId="50007D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2A03322">
            <w:pPr>
              <w:widowControl/>
              <w:spacing w:line="480" w:lineRule="exact"/>
              <w:jc w:val="center"/>
              <w:rPr>
                <w:rFonts w:ascii="宋体" w:hAnsi="宋体" w:eastAsia="宋体" w:cs="宋体"/>
                <w:kern w:val="0"/>
                <w:sz w:val="24"/>
              </w:rPr>
            </w:pPr>
            <w:r>
              <w:rPr>
                <w:rFonts w:hint="eastAsia" w:ascii="宋体" w:hAnsi="宋体" w:cs="宋体"/>
                <w:kern w:val="0"/>
                <w:sz w:val="24"/>
              </w:rPr>
              <w:t>6</w:t>
            </w:r>
          </w:p>
        </w:tc>
        <w:tc>
          <w:tcPr>
            <w:tcW w:w="17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4FAA41">
            <w:pPr>
              <w:widowControl/>
              <w:spacing w:line="480" w:lineRule="exact"/>
              <w:jc w:val="center"/>
              <w:rPr>
                <w:rFonts w:ascii="宋体" w:hAnsi="宋体" w:eastAsia="宋体" w:cs="宋体"/>
                <w:kern w:val="0"/>
                <w:sz w:val="24"/>
              </w:rPr>
            </w:pPr>
            <w:r>
              <w:rPr>
                <w:rFonts w:hint="eastAsia" w:ascii="宋体" w:hAnsi="宋体" w:cs="宋体"/>
                <w:kern w:val="0"/>
                <w:sz w:val="24"/>
              </w:rPr>
              <w:t>数据对接</w:t>
            </w:r>
          </w:p>
        </w:tc>
        <w:tc>
          <w:tcPr>
            <w:tcW w:w="21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BF87DE">
            <w:pPr>
              <w:widowControl/>
              <w:spacing w:line="480" w:lineRule="exact"/>
              <w:jc w:val="center"/>
              <w:rPr>
                <w:rFonts w:ascii="宋体" w:hAnsi="宋体" w:eastAsia="宋体" w:cs="宋体"/>
                <w:kern w:val="0"/>
                <w:sz w:val="24"/>
              </w:rPr>
            </w:pPr>
            <w:r>
              <w:rPr>
                <w:rFonts w:hint="eastAsia" w:ascii="宋体" w:hAnsi="宋体" w:cs="宋体"/>
                <w:kern w:val="0"/>
                <w:sz w:val="24"/>
              </w:rPr>
              <w:t>数据对接</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8D2E66">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套</w:t>
            </w:r>
          </w:p>
        </w:tc>
        <w:tc>
          <w:tcPr>
            <w:tcW w:w="6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6FBBC38">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E7E78A">
            <w:pPr>
              <w:widowControl/>
              <w:jc w:val="center"/>
              <w:textAlignment w:val="center"/>
              <w:rPr>
                <w:rFonts w:ascii="宋体" w:hAnsi="宋体" w:eastAsia="宋体" w:cs="宋体"/>
                <w:color w:val="333333"/>
                <w:sz w:val="24"/>
                <w:shd w:val="clear" w:color="auto" w:fill="FFFFFF"/>
              </w:rPr>
            </w:pPr>
            <w:r>
              <w:rPr>
                <w:rFonts w:hint="eastAsia" w:ascii="宋体" w:hAnsi="宋体" w:eastAsia="宋体" w:cs="宋体"/>
                <w:color w:val="000000"/>
                <w:kern w:val="0"/>
                <w:sz w:val="24"/>
              </w:rPr>
              <w:t>36000</w:t>
            </w:r>
          </w:p>
        </w:tc>
        <w:tc>
          <w:tcPr>
            <w:tcW w:w="7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C45216">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总价</w:t>
            </w:r>
          </w:p>
        </w:tc>
        <w:tc>
          <w:tcPr>
            <w:tcW w:w="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A77C42">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无</w:t>
            </w:r>
          </w:p>
        </w:tc>
      </w:tr>
      <w:tr w14:paraId="273142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93BDB2E">
            <w:pPr>
              <w:widowControl/>
              <w:spacing w:line="480" w:lineRule="exact"/>
              <w:jc w:val="center"/>
              <w:rPr>
                <w:rFonts w:ascii="宋体" w:hAnsi="宋体" w:eastAsia="宋体" w:cs="宋体"/>
                <w:kern w:val="0"/>
                <w:sz w:val="24"/>
              </w:rPr>
            </w:pPr>
            <w:r>
              <w:rPr>
                <w:rFonts w:hint="eastAsia" w:ascii="宋体" w:hAnsi="宋体" w:cs="宋体"/>
                <w:kern w:val="0"/>
                <w:sz w:val="24"/>
              </w:rPr>
              <w:t>7</w:t>
            </w:r>
          </w:p>
        </w:tc>
        <w:tc>
          <w:tcPr>
            <w:tcW w:w="17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B04287">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外协自助终端</w:t>
            </w:r>
          </w:p>
        </w:tc>
        <w:tc>
          <w:tcPr>
            <w:tcW w:w="21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310C86">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外协自助终端</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E6BDCA">
            <w:pPr>
              <w:widowControl/>
              <w:jc w:val="center"/>
              <w:textAlignment w:val="center"/>
              <w:rPr>
                <w:rFonts w:ascii="宋体" w:hAnsi="宋体" w:eastAsia="宋体" w:cs="宋体"/>
                <w:kern w:val="0"/>
                <w:sz w:val="24"/>
              </w:rPr>
            </w:pPr>
            <w:r>
              <w:rPr>
                <w:rFonts w:hint="eastAsia" w:ascii="宋体" w:hAnsi="宋体" w:cs="宋体"/>
                <w:color w:val="000000"/>
                <w:kern w:val="0"/>
                <w:sz w:val="24"/>
              </w:rPr>
              <w:t>套</w:t>
            </w:r>
          </w:p>
        </w:tc>
        <w:tc>
          <w:tcPr>
            <w:tcW w:w="6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F6A3A32">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FBE259C">
            <w:pPr>
              <w:widowControl/>
              <w:jc w:val="center"/>
              <w:textAlignment w:val="center"/>
              <w:rPr>
                <w:rFonts w:ascii="宋体" w:hAnsi="宋体" w:eastAsia="宋体" w:cs="宋体"/>
                <w:color w:val="333333"/>
                <w:sz w:val="24"/>
                <w:shd w:val="clear" w:color="auto" w:fill="FFFFFF"/>
              </w:rPr>
            </w:pPr>
            <w:r>
              <w:rPr>
                <w:rFonts w:hint="eastAsia" w:ascii="宋体" w:hAnsi="宋体" w:eastAsia="宋体" w:cs="宋体"/>
                <w:color w:val="000000"/>
                <w:kern w:val="0"/>
                <w:sz w:val="24"/>
              </w:rPr>
              <w:t>59800</w:t>
            </w:r>
          </w:p>
        </w:tc>
        <w:tc>
          <w:tcPr>
            <w:tcW w:w="7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FA642E">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总价</w:t>
            </w:r>
          </w:p>
        </w:tc>
        <w:tc>
          <w:tcPr>
            <w:tcW w:w="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91FA68">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无</w:t>
            </w:r>
          </w:p>
        </w:tc>
      </w:tr>
      <w:tr w14:paraId="68B572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0129FE">
            <w:pPr>
              <w:widowControl/>
              <w:spacing w:line="480" w:lineRule="exact"/>
              <w:jc w:val="center"/>
              <w:rPr>
                <w:rFonts w:ascii="宋体" w:hAnsi="宋体" w:eastAsia="宋体" w:cs="宋体"/>
                <w:kern w:val="0"/>
                <w:sz w:val="24"/>
              </w:rPr>
            </w:pPr>
            <w:r>
              <w:rPr>
                <w:rFonts w:hint="eastAsia" w:ascii="宋体" w:hAnsi="宋体" w:cs="宋体"/>
                <w:kern w:val="0"/>
                <w:sz w:val="24"/>
              </w:rPr>
              <w:t>8</w:t>
            </w:r>
          </w:p>
        </w:tc>
        <w:tc>
          <w:tcPr>
            <w:tcW w:w="17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FBB244">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外协出监核验终端</w:t>
            </w:r>
          </w:p>
        </w:tc>
        <w:tc>
          <w:tcPr>
            <w:tcW w:w="21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0B5C736">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外协出监核验终端</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EE7A4A5">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台</w:t>
            </w:r>
          </w:p>
        </w:tc>
        <w:tc>
          <w:tcPr>
            <w:tcW w:w="6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1AF046">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04F548">
            <w:pPr>
              <w:widowControl/>
              <w:jc w:val="center"/>
              <w:textAlignment w:val="center"/>
              <w:rPr>
                <w:rFonts w:ascii="宋体" w:hAnsi="宋体" w:eastAsia="宋体" w:cs="宋体"/>
                <w:color w:val="333333"/>
                <w:sz w:val="24"/>
                <w:shd w:val="clear" w:color="auto" w:fill="FFFFFF"/>
              </w:rPr>
            </w:pPr>
            <w:r>
              <w:rPr>
                <w:rFonts w:hint="eastAsia" w:ascii="宋体" w:hAnsi="宋体" w:eastAsia="宋体" w:cs="宋体"/>
                <w:color w:val="000000"/>
                <w:kern w:val="0"/>
                <w:sz w:val="24"/>
              </w:rPr>
              <w:t>3300</w:t>
            </w:r>
          </w:p>
        </w:tc>
        <w:tc>
          <w:tcPr>
            <w:tcW w:w="7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5CEB14">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总价</w:t>
            </w:r>
          </w:p>
        </w:tc>
        <w:tc>
          <w:tcPr>
            <w:tcW w:w="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D13980">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无</w:t>
            </w:r>
          </w:p>
        </w:tc>
      </w:tr>
      <w:tr w14:paraId="1B6669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20C6C6">
            <w:pPr>
              <w:widowControl/>
              <w:spacing w:line="480" w:lineRule="exact"/>
              <w:jc w:val="center"/>
              <w:rPr>
                <w:rFonts w:ascii="宋体" w:hAnsi="宋体" w:eastAsia="宋体" w:cs="宋体"/>
                <w:kern w:val="0"/>
                <w:sz w:val="24"/>
              </w:rPr>
            </w:pPr>
            <w:r>
              <w:rPr>
                <w:rFonts w:hint="eastAsia" w:ascii="宋体" w:hAnsi="宋体" w:cs="宋体"/>
                <w:kern w:val="0"/>
                <w:sz w:val="24"/>
              </w:rPr>
              <w:t>9</w:t>
            </w:r>
          </w:p>
        </w:tc>
        <w:tc>
          <w:tcPr>
            <w:tcW w:w="17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3D8210">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物品核验管理终端</w:t>
            </w:r>
          </w:p>
        </w:tc>
        <w:tc>
          <w:tcPr>
            <w:tcW w:w="21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5DE4DD">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物品核验管理终端</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A8ED54">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台</w:t>
            </w:r>
          </w:p>
        </w:tc>
        <w:tc>
          <w:tcPr>
            <w:tcW w:w="6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01C292A">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DCD406">
            <w:pPr>
              <w:widowControl/>
              <w:jc w:val="center"/>
              <w:textAlignment w:val="center"/>
              <w:rPr>
                <w:rFonts w:ascii="宋体" w:hAnsi="宋体" w:eastAsia="宋体" w:cs="宋体"/>
                <w:color w:val="333333"/>
                <w:sz w:val="24"/>
                <w:shd w:val="clear" w:color="auto" w:fill="FFFFFF"/>
              </w:rPr>
            </w:pPr>
            <w:r>
              <w:rPr>
                <w:rFonts w:hint="eastAsia" w:ascii="宋体" w:hAnsi="宋体" w:eastAsia="宋体" w:cs="宋体"/>
                <w:color w:val="000000"/>
                <w:kern w:val="0"/>
                <w:sz w:val="24"/>
              </w:rPr>
              <w:t>18600</w:t>
            </w:r>
          </w:p>
        </w:tc>
        <w:tc>
          <w:tcPr>
            <w:tcW w:w="7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7CCADD">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总价</w:t>
            </w:r>
          </w:p>
        </w:tc>
        <w:tc>
          <w:tcPr>
            <w:tcW w:w="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C40AEC">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无</w:t>
            </w:r>
          </w:p>
        </w:tc>
      </w:tr>
      <w:tr w14:paraId="05FC4F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6449D98">
            <w:pPr>
              <w:widowControl/>
              <w:spacing w:line="480" w:lineRule="exact"/>
              <w:jc w:val="center"/>
            </w:pPr>
            <w:r>
              <w:rPr>
                <w:rFonts w:hint="eastAsia" w:ascii="宋体" w:hAnsi="宋体" w:cs="宋体"/>
                <w:kern w:val="0"/>
                <w:sz w:val="24"/>
              </w:rPr>
              <w:t>10</w:t>
            </w:r>
          </w:p>
        </w:tc>
        <w:tc>
          <w:tcPr>
            <w:tcW w:w="17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058BA26">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数字展示看板</w:t>
            </w:r>
          </w:p>
        </w:tc>
        <w:tc>
          <w:tcPr>
            <w:tcW w:w="21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C66011">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数字展示看板</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7981D06">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台</w:t>
            </w:r>
          </w:p>
        </w:tc>
        <w:tc>
          <w:tcPr>
            <w:tcW w:w="6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42FCAC8">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762054">
            <w:pPr>
              <w:widowControl/>
              <w:jc w:val="center"/>
              <w:textAlignment w:val="center"/>
              <w:rPr>
                <w:rFonts w:ascii="宋体" w:hAnsi="宋体" w:eastAsia="宋体" w:cs="宋体"/>
                <w:color w:val="333333"/>
                <w:sz w:val="24"/>
                <w:shd w:val="clear" w:color="auto" w:fill="FFFFFF"/>
              </w:rPr>
            </w:pPr>
            <w:r>
              <w:rPr>
                <w:rFonts w:hint="eastAsia" w:ascii="宋体" w:hAnsi="宋体" w:eastAsia="宋体" w:cs="宋体"/>
                <w:color w:val="000000"/>
                <w:kern w:val="0"/>
                <w:sz w:val="24"/>
              </w:rPr>
              <w:t>17400</w:t>
            </w:r>
          </w:p>
        </w:tc>
        <w:tc>
          <w:tcPr>
            <w:tcW w:w="7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BEB8FE">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总价</w:t>
            </w:r>
          </w:p>
        </w:tc>
        <w:tc>
          <w:tcPr>
            <w:tcW w:w="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30E8288">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无</w:t>
            </w:r>
          </w:p>
        </w:tc>
      </w:tr>
      <w:tr w14:paraId="7A8744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187A24">
            <w:pPr>
              <w:widowControl/>
              <w:spacing w:line="480" w:lineRule="exact"/>
              <w:jc w:val="center"/>
            </w:pPr>
            <w:r>
              <w:rPr>
                <w:rFonts w:hint="eastAsia" w:ascii="宋体" w:hAnsi="宋体" w:cs="宋体"/>
                <w:kern w:val="0"/>
                <w:sz w:val="24"/>
              </w:rPr>
              <w:t>11</w:t>
            </w:r>
          </w:p>
        </w:tc>
        <w:tc>
          <w:tcPr>
            <w:tcW w:w="17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3A5A3B">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刑释出监核验终端</w:t>
            </w:r>
          </w:p>
        </w:tc>
        <w:tc>
          <w:tcPr>
            <w:tcW w:w="21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71EE54">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刑释出监核验终端</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0FF3E5C">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台</w:t>
            </w:r>
          </w:p>
        </w:tc>
        <w:tc>
          <w:tcPr>
            <w:tcW w:w="6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FB87C5">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8C5A1F">
            <w:pPr>
              <w:widowControl/>
              <w:jc w:val="center"/>
              <w:textAlignment w:val="center"/>
              <w:rPr>
                <w:rFonts w:ascii="宋体" w:hAnsi="宋体" w:eastAsia="宋体" w:cs="宋体"/>
                <w:color w:val="333333"/>
                <w:sz w:val="24"/>
                <w:shd w:val="clear" w:color="auto" w:fill="FFFFFF"/>
              </w:rPr>
            </w:pPr>
            <w:r>
              <w:rPr>
                <w:rFonts w:hint="eastAsia" w:ascii="宋体" w:hAnsi="宋体" w:eastAsia="宋体" w:cs="宋体"/>
                <w:color w:val="000000"/>
                <w:kern w:val="0"/>
                <w:sz w:val="24"/>
              </w:rPr>
              <w:t>26000</w:t>
            </w:r>
          </w:p>
        </w:tc>
        <w:tc>
          <w:tcPr>
            <w:tcW w:w="7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0C434B">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总价</w:t>
            </w:r>
          </w:p>
        </w:tc>
        <w:tc>
          <w:tcPr>
            <w:tcW w:w="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9D3FDC">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无</w:t>
            </w:r>
          </w:p>
        </w:tc>
      </w:tr>
      <w:tr w14:paraId="4CD37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C158A3">
            <w:pPr>
              <w:widowControl/>
              <w:spacing w:line="480" w:lineRule="exact"/>
              <w:jc w:val="center"/>
            </w:pPr>
            <w:r>
              <w:rPr>
                <w:rFonts w:hint="eastAsia" w:ascii="宋体" w:hAnsi="宋体" w:cs="宋体"/>
                <w:kern w:val="0"/>
                <w:sz w:val="24"/>
              </w:rPr>
              <w:t>12</w:t>
            </w:r>
          </w:p>
        </w:tc>
        <w:tc>
          <w:tcPr>
            <w:tcW w:w="17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3D03A4">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桌面掌静脉采集器</w:t>
            </w:r>
          </w:p>
        </w:tc>
        <w:tc>
          <w:tcPr>
            <w:tcW w:w="21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9083DB">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桌面掌静脉采集器</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41BAF1">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台</w:t>
            </w:r>
          </w:p>
        </w:tc>
        <w:tc>
          <w:tcPr>
            <w:tcW w:w="6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B6384B">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871942">
            <w:pPr>
              <w:widowControl/>
              <w:jc w:val="center"/>
              <w:textAlignment w:val="center"/>
              <w:rPr>
                <w:rFonts w:ascii="宋体" w:hAnsi="宋体" w:eastAsia="宋体" w:cs="宋体"/>
                <w:color w:val="333333"/>
                <w:sz w:val="24"/>
                <w:shd w:val="clear" w:color="auto" w:fill="FFFFFF"/>
              </w:rPr>
            </w:pPr>
            <w:r>
              <w:rPr>
                <w:rFonts w:hint="eastAsia" w:ascii="宋体" w:hAnsi="宋体" w:eastAsia="宋体" w:cs="宋体"/>
                <w:color w:val="000000"/>
                <w:kern w:val="0"/>
                <w:sz w:val="24"/>
              </w:rPr>
              <w:t>5600</w:t>
            </w:r>
          </w:p>
        </w:tc>
        <w:tc>
          <w:tcPr>
            <w:tcW w:w="7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F0C12E">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总价</w:t>
            </w:r>
          </w:p>
        </w:tc>
        <w:tc>
          <w:tcPr>
            <w:tcW w:w="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897AAE">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无</w:t>
            </w:r>
          </w:p>
        </w:tc>
      </w:tr>
      <w:tr w14:paraId="013240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F560142">
            <w:pPr>
              <w:widowControl/>
              <w:spacing w:line="480" w:lineRule="exact"/>
              <w:jc w:val="center"/>
            </w:pPr>
            <w:r>
              <w:rPr>
                <w:rFonts w:hint="eastAsia" w:ascii="宋体" w:hAnsi="宋体" w:cs="宋体"/>
                <w:kern w:val="0"/>
                <w:sz w:val="24"/>
              </w:rPr>
              <w:t>13</w:t>
            </w:r>
          </w:p>
        </w:tc>
        <w:tc>
          <w:tcPr>
            <w:tcW w:w="17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C0D6141">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车底扫描系统</w:t>
            </w:r>
          </w:p>
        </w:tc>
        <w:tc>
          <w:tcPr>
            <w:tcW w:w="21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260117">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车底扫描系统</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63782D">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台</w:t>
            </w:r>
          </w:p>
        </w:tc>
        <w:tc>
          <w:tcPr>
            <w:tcW w:w="6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4D658E9">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C918616">
            <w:pPr>
              <w:widowControl/>
              <w:jc w:val="center"/>
              <w:textAlignment w:val="center"/>
              <w:rPr>
                <w:rFonts w:ascii="宋体" w:hAnsi="宋体" w:eastAsia="宋体" w:cs="宋体"/>
                <w:color w:val="333333"/>
                <w:sz w:val="24"/>
                <w:shd w:val="clear" w:color="auto" w:fill="FFFFFF"/>
              </w:rPr>
            </w:pPr>
            <w:r>
              <w:rPr>
                <w:rFonts w:hint="eastAsia" w:ascii="宋体" w:hAnsi="宋体" w:eastAsia="宋体" w:cs="宋体"/>
                <w:color w:val="000000"/>
                <w:kern w:val="0"/>
                <w:sz w:val="24"/>
              </w:rPr>
              <w:t>135000</w:t>
            </w:r>
          </w:p>
        </w:tc>
        <w:tc>
          <w:tcPr>
            <w:tcW w:w="7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C46140">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总价</w:t>
            </w:r>
          </w:p>
        </w:tc>
        <w:tc>
          <w:tcPr>
            <w:tcW w:w="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3D007B">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无</w:t>
            </w:r>
          </w:p>
        </w:tc>
      </w:tr>
      <w:tr w14:paraId="3932CD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A736D2">
            <w:pPr>
              <w:widowControl/>
              <w:spacing w:line="480" w:lineRule="exact"/>
              <w:jc w:val="center"/>
            </w:pPr>
            <w:r>
              <w:rPr>
                <w:rFonts w:hint="eastAsia" w:ascii="宋体" w:hAnsi="宋体" w:cs="宋体"/>
                <w:kern w:val="0"/>
                <w:sz w:val="24"/>
              </w:rPr>
              <w:t>14</w:t>
            </w:r>
          </w:p>
        </w:tc>
        <w:tc>
          <w:tcPr>
            <w:tcW w:w="17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D8DDE7">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门口车牌识别摄像机</w:t>
            </w:r>
          </w:p>
        </w:tc>
        <w:tc>
          <w:tcPr>
            <w:tcW w:w="21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0BD6B0">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门口车牌识别摄像机</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126E20">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套</w:t>
            </w:r>
          </w:p>
        </w:tc>
        <w:tc>
          <w:tcPr>
            <w:tcW w:w="6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F6936B">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440F67">
            <w:pPr>
              <w:widowControl/>
              <w:jc w:val="center"/>
              <w:textAlignment w:val="center"/>
              <w:rPr>
                <w:rFonts w:ascii="宋体" w:hAnsi="宋体" w:eastAsia="宋体" w:cs="宋体"/>
                <w:color w:val="333333"/>
                <w:sz w:val="24"/>
                <w:shd w:val="clear" w:color="auto" w:fill="FFFFFF"/>
              </w:rPr>
            </w:pPr>
            <w:r>
              <w:rPr>
                <w:rFonts w:hint="eastAsia" w:ascii="宋体" w:hAnsi="宋体" w:eastAsia="宋体" w:cs="宋体"/>
                <w:color w:val="000000"/>
                <w:kern w:val="0"/>
                <w:sz w:val="24"/>
              </w:rPr>
              <w:t>12200</w:t>
            </w:r>
          </w:p>
        </w:tc>
        <w:tc>
          <w:tcPr>
            <w:tcW w:w="7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966119">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总价</w:t>
            </w:r>
          </w:p>
        </w:tc>
        <w:tc>
          <w:tcPr>
            <w:tcW w:w="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0BDEB6">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无</w:t>
            </w:r>
          </w:p>
        </w:tc>
      </w:tr>
      <w:tr w14:paraId="59F75E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0E96E5">
            <w:pPr>
              <w:widowControl/>
              <w:spacing w:line="480" w:lineRule="exact"/>
              <w:jc w:val="center"/>
            </w:pPr>
            <w:r>
              <w:rPr>
                <w:rFonts w:hint="eastAsia" w:ascii="宋体" w:hAnsi="宋体" w:cs="宋体"/>
                <w:kern w:val="0"/>
                <w:sz w:val="24"/>
              </w:rPr>
              <w:t>15</w:t>
            </w:r>
          </w:p>
        </w:tc>
        <w:tc>
          <w:tcPr>
            <w:tcW w:w="17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971426">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车道管理终端</w:t>
            </w:r>
          </w:p>
        </w:tc>
        <w:tc>
          <w:tcPr>
            <w:tcW w:w="21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A2BF6A">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车道管理终端</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737CE6">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台</w:t>
            </w:r>
          </w:p>
        </w:tc>
        <w:tc>
          <w:tcPr>
            <w:tcW w:w="6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713B8E">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元</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3D889CE">
            <w:pPr>
              <w:widowControl/>
              <w:jc w:val="center"/>
              <w:textAlignment w:val="center"/>
              <w:rPr>
                <w:rFonts w:ascii="宋体" w:hAnsi="宋体" w:eastAsia="宋体" w:cs="宋体"/>
                <w:color w:val="333333"/>
                <w:sz w:val="24"/>
                <w:shd w:val="clear" w:color="auto" w:fill="FFFFFF"/>
              </w:rPr>
            </w:pPr>
            <w:r>
              <w:rPr>
                <w:rFonts w:hint="eastAsia" w:ascii="宋体" w:hAnsi="宋体" w:eastAsia="宋体" w:cs="宋体"/>
                <w:color w:val="000000"/>
                <w:kern w:val="0"/>
                <w:sz w:val="24"/>
              </w:rPr>
              <w:t>9500</w:t>
            </w:r>
          </w:p>
        </w:tc>
        <w:tc>
          <w:tcPr>
            <w:tcW w:w="7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7D71ABB">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总价</w:t>
            </w:r>
          </w:p>
        </w:tc>
        <w:tc>
          <w:tcPr>
            <w:tcW w:w="7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02E3A8">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无</w:t>
            </w:r>
          </w:p>
        </w:tc>
      </w:tr>
    </w:tbl>
    <w:p w14:paraId="4163EC5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26B1D1C6">
      <w:pPr>
        <w:rPr>
          <w:rFonts w:ascii="宋体" w:hAnsi="宋体" w:eastAsia="宋体" w:cs="宋体"/>
          <w:color w:val="333333"/>
          <w:sz w:val="39"/>
          <w:szCs w:val="39"/>
          <w:shd w:val="clear" w:color="auto" w:fill="FFFFFF"/>
        </w:rPr>
      </w:pPr>
      <w:r>
        <w:rPr>
          <w:rFonts w:hint="eastAsia" w:ascii="宋体" w:hAnsi="宋体" w:eastAsia="宋体" w:cs="宋体"/>
          <w:color w:val="333333"/>
          <w:sz w:val="39"/>
          <w:szCs w:val="39"/>
          <w:shd w:val="clear" w:color="auto" w:fill="FFFFFF"/>
        </w:rPr>
        <w:br w:type="page"/>
      </w:r>
    </w:p>
    <w:p w14:paraId="224AB76C">
      <w:pPr>
        <w:pStyle w:val="8"/>
        <w:widowControl/>
        <w:shd w:val="clear" w:color="auto" w:fill="FFFFFF"/>
        <w:spacing w:beforeAutospacing="0" w:afterAutospacing="0" w:line="480" w:lineRule="atLeast"/>
        <w:jc w:val="center"/>
        <w:rPr>
          <w:rFonts w:hint="default" w:cs="宋体"/>
          <w:color w:val="333333"/>
          <w:sz w:val="39"/>
          <w:szCs w:val="39"/>
        </w:rPr>
      </w:pPr>
      <w:r>
        <w:rPr>
          <w:rFonts w:cs="宋体"/>
          <w:color w:val="333333"/>
          <w:sz w:val="39"/>
          <w:szCs w:val="39"/>
          <w:shd w:val="clear" w:color="auto" w:fill="FFFFFF"/>
        </w:rPr>
        <w:t>第二章 投标人须知前附表</w:t>
      </w:r>
    </w:p>
    <w:p w14:paraId="075E9A81">
      <w:pPr>
        <w:pStyle w:val="6"/>
        <w:widowControl/>
        <w:shd w:val="clear" w:color="auto" w:fill="FFFFFF"/>
        <w:spacing w:beforeAutospacing="0" w:afterAutospacing="0" w:line="480" w:lineRule="atLeast"/>
        <w:ind w:firstLine="420"/>
        <w:jc w:val="both"/>
        <w:rPr>
          <w:rFonts w:hint="default" w:cs="宋体"/>
          <w:color w:val="333333"/>
        </w:rPr>
      </w:pPr>
      <w:r>
        <w:rPr>
          <w:rFonts w:cs="宋体"/>
          <w:color w:val="333333"/>
          <w:shd w:val="clear" w:color="auto" w:fill="FFFFFF"/>
        </w:rPr>
        <w:t>一、投标人须知前附表1</w:t>
      </w:r>
    </w:p>
    <w:tbl>
      <w:tblPr>
        <w:tblStyle w:val="17"/>
        <w:tblW w:w="8546" w:type="dxa"/>
        <w:tblInd w:w="0" w:type="dxa"/>
        <w:shd w:val="clear" w:color="auto" w:fill="FFFFFF"/>
        <w:tblLayout w:type="fixed"/>
        <w:tblCellMar>
          <w:top w:w="0" w:type="dxa"/>
          <w:left w:w="0" w:type="dxa"/>
          <w:bottom w:w="0" w:type="dxa"/>
          <w:right w:w="0" w:type="dxa"/>
        </w:tblCellMar>
      </w:tblPr>
      <w:tblGrid>
        <w:gridCol w:w="480"/>
        <w:gridCol w:w="840"/>
        <w:gridCol w:w="7226"/>
      </w:tblGrid>
      <w:tr w14:paraId="2D0C94BD">
        <w:tblPrEx>
          <w:shd w:val="clear" w:color="auto" w:fill="FFFFFF"/>
          <w:tblCellMar>
            <w:top w:w="0" w:type="dxa"/>
            <w:left w:w="0" w:type="dxa"/>
            <w:bottom w:w="0" w:type="dxa"/>
            <w:right w:w="0" w:type="dxa"/>
          </w:tblCellMar>
        </w:tblPrEx>
        <w:tc>
          <w:tcPr>
            <w:tcW w:w="8546" w:type="dxa"/>
            <w:gridSpan w:val="3"/>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FE62AF4">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特别提示：本表与招标文件对应章节的内容若不一致，以本表为准。</w:t>
            </w:r>
          </w:p>
        </w:tc>
      </w:tr>
      <w:tr w14:paraId="477BB1D5">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2C6908C">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序号</w:t>
            </w:r>
          </w:p>
        </w:tc>
        <w:tc>
          <w:tcPr>
            <w:tcW w:w="84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BF6A791">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招标文件</w:t>
            </w:r>
          </w:p>
          <w:p w14:paraId="2DE1184D">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（第三章）</w:t>
            </w:r>
          </w:p>
        </w:tc>
        <w:tc>
          <w:tcPr>
            <w:tcW w:w="722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0AF3AC7">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编列内容</w:t>
            </w:r>
          </w:p>
        </w:tc>
      </w:tr>
      <w:tr w14:paraId="254784BD">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737F976">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w:t>
            </w:r>
          </w:p>
        </w:tc>
        <w:tc>
          <w:tcPr>
            <w:tcW w:w="84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BC6AB24">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6.1</w:t>
            </w:r>
          </w:p>
        </w:tc>
        <w:tc>
          <w:tcPr>
            <w:tcW w:w="722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2171C89">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是否组织现场考察或召开开标前答疑会：</w:t>
            </w:r>
          </w:p>
          <w:p w14:paraId="44975637">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采购包1：不组织</w:t>
            </w:r>
          </w:p>
        </w:tc>
      </w:tr>
      <w:tr w14:paraId="0B9F9E64">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20B78FB">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2</w:t>
            </w:r>
          </w:p>
        </w:tc>
        <w:tc>
          <w:tcPr>
            <w:tcW w:w="84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F91C79D">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10.4</w:t>
            </w:r>
          </w:p>
        </w:tc>
        <w:tc>
          <w:tcPr>
            <w:tcW w:w="722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13EC379">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投标文件的份数：</w:t>
            </w:r>
          </w:p>
          <w:p w14:paraId="7BF84EBF">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（1）可读介质（光盘或U盘）0份：投标人应将其上传至福建省政府采购网上公开信息系统的电子投标文件在该可读介质中另存0份。</w:t>
            </w:r>
          </w:p>
          <w:p w14:paraId="791345D2">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（2）电子投标文件：详见投标人须知前附表2《关于电子招标投标活动的专门规定》。</w:t>
            </w:r>
          </w:p>
        </w:tc>
      </w:tr>
      <w:tr w14:paraId="1645326C">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D2C7D73">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3</w:t>
            </w:r>
          </w:p>
        </w:tc>
        <w:tc>
          <w:tcPr>
            <w:tcW w:w="84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EE1A93F">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10.7-（1）</w:t>
            </w:r>
          </w:p>
        </w:tc>
        <w:tc>
          <w:tcPr>
            <w:tcW w:w="722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FC16FCF">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是否允许中标人将本项目的非主体、非关键性工作进行分包：</w:t>
            </w:r>
          </w:p>
          <w:p w14:paraId="023E946B">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采购包1：不允许合同分包；</w:t>
            </w:r>
          </w:p>
        </w:tc>
      </w:tr>
      <w:tr w14:paraId="7D063F08">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2EAF700">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4</w:t>
            </w:r>
          </w:p>
        </w:tc>
        <w:tc>
          <w:tcPr>
            <w:tcW w:w="84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96417E8">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10.8-（1）</w:t>
            </w:r>
          </w:p>
        </w:tc>
        <w:tc>
          <w:tcPr>
            <w:tcW w:w="722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90E9ADA">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投标有效期：投标截止时间起90个日历日。</w:t>
            </w:r>
          </w:p>
        </w:tc>
      </w:tr>
      <w:tr w14:paraId="2A88BEBD">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C1C726B">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5</w:t>
            </w:r>
          </w:p>
        </w:tc>
        <w:tc>
          <w:tcPr>
            <w:tcW w:w="84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37B3441">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12.1</w:t>
            </w:r>
          </w:p>
        </w:tc>
        <w:tc>
          <w:tcPr>
            <w:tcW w:w="722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DAE6A48">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确定中标候选人名单：</w:t>
            </w:r>
          </w:p>
          <w:p w14:paraId="19892F2A">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采购包1：1名</w:t>
            </w:r>
          </w:p>
        </w:tc>
      </w:tr>
      <w:tr w14:paraId="72D8B198">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ED981A4">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6</w:t>
            </w:r>
          </w:p>
        </w:tc>
        <w:tc>
          <w:tcPr>
            <w:tcW w:w="84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7F7C4C2">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12.2</w:t>
            </w:r>
          </w:p>
        </w:tc>
        <w:tc>
          <w:tcPr>
            <w:tcW w:w="722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F95D014">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本项目中标人的确定（以采购包为单位）：</w:t>
            </w:r>
          </w:p>
          <w:p w14:paraId="5EB0402C">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 采购人应在政府采购招投标管理办法规定的时限内确定中标人。</w:t>
            </w:r>
          </w:p>
          <w:p w14:paraId="24F7375F">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（2）若出现中标候选人并列情形，则按照下列方式确定中标人：</w:t>
            </w:r>
          </w:p>
          <w:p w14:paraId="5F3C28E1">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①招标文件规定的方式：</w:t>
            </w:r>
          </w:p>
          <w:p w14:paraId="39545FFC">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中标候选人并列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根据投标人的售后服务承诺等方面，择优选择中标候选人。</w:t>
            </w:r>
          </w:p>
          <w:p w14:paraId="006D0045">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②若本款第①点规定方式为“无”，则按照下列方式确定：</w:t>
            </w:r>
          </w:p>
          <w:p w14:paraId="5FEC54E8">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无。</w:t>
            </w:r>
          </w:p>
          <w:p w14:paraId="052EE6FD">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③若本款第①、②点规定方式均为“无”，则按照下列方式确定：随机抽取。</w:t>
            </w:r>
          </w:p>
          <w:p w14:paraId="1D8232AA">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（3）本项目确定的中标人家数：</w:t>
            </w:r>
          </w:p>
          <w:p w14:paraId="3E29EF77">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采购包1：1名</w:t>
            </w:r>
          </w:p>
        </w:tc>
      </w:tr>
      <w:tr w14:paraId="522532D8">
        <w:tblPrEx>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9A89D74">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7</w:t>
            </w:r>
          </w:p>
        </w:tc>
        <w:tc>
          <w:tcPr>
            <w:tcW w:w="84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255AC17">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13.2</w:t>
            </w:r>
          </w:p>
        </w:tc>
        <w:tc>
          <w:tcPr>
            <w:tcW w:w="722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1582DBD">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合同签订时限： 自中标通知书发出之日起30个日历日内。</w:t>
            </w:r>
          </w:p>
        </w:tc>
      </w:tr>
      <w:tr w14:paraId="69EF661E">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7476C7D">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8</w:t>
            </w:r>
          </w:p>
        </w:tc>
        <w:tc>
          <w:tcPr>
            <w:tcW w:w="84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5E71BB8">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15.1-（2）</w:t>
            </w:r>
          </w:p>
        </w:tc>
        <w:tc>
          <w:tcPr>
            <w:tcW w:w="722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30624C1">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质疑函原件应采用下列方式提交：书面形式。</w:t>
            </w:r>
          </w:p>
        </w:tc>
      </w:tr>
      <w:tr w14:paraId="660BA35E">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2E567CE">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9</w:t>
            </w:r>
          </w:p>
        </w:tc>
        <w:tc>
          <w:tcPr>
            <w:tcW w:w="84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6571A64">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15.4</w:t>
            </w:r>
          </w:p>
        </w:tc>
        <w:tc>
          <w:tcPr>
            <w:tcW w:w="722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FF7D1C4">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招标文件的质疑</w:t>
            </w:r>
          </w:p>
          <w:p w14:paraId="69C7B618">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（1）潜在投标人可在质疑时效期间内对招标文件以书面形式提出质疑。</w:t>
            </w:r>
          </w:p>
          <w:p w14:paraId="70075BA8">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（2）质疑时效期间：应在依法获取招标文件之日起7个工作日内向 福建省新卫招标代理有限公司 提出，依法获取招标文件的时间以福建省政府采购网上公开信息系统记载的为准。</w:t>
            </w:r>
          </w:p>
          <w:p w14:paraId="7B7D65CF">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※除上述规定外，对招标文件提出的质疑还应符合招标文件第三章第15.1条的有关规定。</w:t>
            </w:r>
          </w:p>
        </w:tc>
      </w:tr>
      <w:tr w14:paraId="50C8D7E4">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1F9F00A">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10</w:t>
            </w:r>
          </w:p>
        </w:tc>
        <w:tc>
          <w:tcPr>
            <w:tcW w:w="84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64953FF">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16.1</w:t>
            </w:r>
          </w:p>
        </w:tc>
        <w:tc>
          <w:tcPr>
            <w:tcW w:w="722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0F2DBF2">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监督管理部门： 福建省财政厅政府采购监督管理办公室 （仅限依法进行政府采购的货物或服务类项目）。</w:t>
            </w:r>
          </w:p>
        </w:tc>
      </w:tr>
      <w:tr w14:paraId="168D6A61">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2E4BD53">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11</w:t>
            </w:r>
          </w:p>
        </w:tc>
        <w:tc>
          <w:tcPr>
            <w:tcW w:w="84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3661F61">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18.1</w:t>
            </w:r>
          </w:p>
        </w:tc>
        <w:tc>
          <w:tcPr>
            <w:tcW w:w="722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744882B">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财政部和福建省财政厅指定的政府采购信息发布媒体（以下简称：“指定媒体”）：</w:t>
            </w:r>
          </w:p>
          <w:p w14:paraId="0F6FDDD1">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（1）中国政府采购网，网址www.ccgp.gov.cn。</w:t>
            </w:r>
          </w:p>
          <w:p w14:paraId="438C26BF">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（2）中国政府采购网福建分网（福建省政府采购网），网址zfcg.czt.fujian.gov.cn。</w:t>
            </w:r>
          </w:p>
          <w:p w14:paraId="50AD1D0D">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※若出现上述指定媒体信息不一致情形，应以中国政府采购网福建分网（福建省政府采购网）发布的为准。</w:t>
            </w:r>
          </w:p>
        </w:tc>
      </w:tr>
      <w:tr w14:paraId="14913E91">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96593BF">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12</w:t>
            </w:r>
          </w:p>
        </w:tc>
        <w:tc>
          <w:tcPr>
            <w:tcW w:w="84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635101D">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19</w:t>
            </w:r>
          </w:p>
        </w:tc>
        <w:tc>
          <w:tcPr>
            <w:tcW w:w="722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14657F6">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其他事项：</w:t>
            </w:r>
          </w:p>
          <w:p w14:paraId="6D79C319">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(1)本项目代理服务费：</w:t>
            </w:r>
          </w:p>
          <w:p w14:paraId="2AD08E82">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本项目收取代理服务费</w:t>
            </w:r>
          </w:p>
          <w:p w14:paraId="6C7D3CC6">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代理服务费用收取对象：中标/成交供应商</w:t>
            </w:r>
          </w:p>
          <w:p w14:paraId="61ACD390">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代理服务费收费标准：本项目的招标代理服务费按福建省监狱系统政府招标代理服务收费标准，以中标金额为基数按差额定率累进法计算向中标人收取。费率标准：50万元（含）以下的按1%收取；50万元至100万元的按0.9%收取；100万元至500万元的按0.5%收取。中标人在领取中标通知书前，以转账或汇款方式提交，请投标人报价时予以充分考虑。②代理服务费缴交账户信息：账户名：福建省新卫招标代理有限公司；账号：77360188000028873；开户行：中国光大银行福州南门支行。</w:t>
            </w:r>
          </w:p>
          <w:p w14:paraId="1973C508">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(2)其他：</w:t>
            </w:r>
          </w:p>
          <w:p w14:paraId="6C6AF1A8">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A.采购人、采购代理机构拥有本项目招标文件的最终解释权。 B.所有资格证明文件应是最新、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C.未实质性响应招标文件条款（“投标无效”条款）：①投标有效期不符合投标人须知前附表中表1第4项号规定的；②出现第二章投标人须知前附表中表1第12项号中规定的情形的；③出现第二章投标人须知前附表中表2投标无效规定的；④出现第三章投标人须知第9、10.6、10.8、10.9、10.12条款中投标无效规定的情形；⑤出现第四章“一、资格审查”与“二、评标”中投标无效规定的情形（资格及符合性审查不合格的情形）；⑥出现第五章招标内容及要求中投标无效规定或“★”标示的内容为负偏离的情形；⑦出现第七章投标文件格式中投标无效规定的情形。⑧出现招标文件中其他实质性条款规定的情形。 D.质疑受理的其他要求： ①质疑人为法人或其他组织的，质疑函需逐页加盖质疑人单位公章；若本项目接受自然人投标且质疑人为自然人的，质疑函需质疑人本人逐页签名。否则质疑将不予受理。 ②在法定质疑期内质疑人须一次性提出针对同一采购程序环节的质疑，二（多）次质疑不予受理。③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 E.投标人对本项目招标文件有任何疑议或不认同之处，需在法定时间内按规定提出质疑，否则视为投标人接受招标文件的规定。 F.根据《福建省财政厅关于运用政府采购政策促进中小企业发展的通知》要求，因疫情影响享受缓缴或免缴社保、税款的企业，无法提供相关社保、税收缴纳证明材料的，提供有关情况说明视同社保、税收缴纳证明材料提交完整。 G.①本项目支持远程开标，投标人可通过远程线上参与开标，具体系统操作指南详见福建省政府采购网首页上相关操作手册。②本项目开标过程中解密的操作时限为30分钟及签章的操作时限为10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w:t>
            </w:r>
          </w:p>
        </w:tc>
      </w:tr>
      <w:tr w14:paraId="5B44293B">
        <w:tblPrEx>
          <w:shd w:val="clear" w:color="auto" w:fill="FFFFFF"/>
          <w:tblCellMar>
            <w:top w:w="0" w:type="dxa"/>
            <w:left w:w="0" w:type="dxa"/>
            <w:bottom w:w="0" w:type="dxa"/>
            <w:right w:w="0" w:type="dxa"/>
          </w:tblCellMar>
        </w:tblPrEx>
        <w:tc>
          <w:tcPr>
            <w:tcW w:w="1320" w:type="dxa"/>
            <w:gridSpan w:val="2"/>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7E45B5C">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备注</w:t>
            </w:r>
          </w:p>
        </w:tc>
        <w:tc>
          <w:tcPr>
            <w:tcW w:w="722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F84C659">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后有投标人须知前附表2，请勿遗漏。</w:t>
            </w:r>
          </w:p>
        </w:tc>
      </w:tr>
    </w:tbl>
    <w:p w14:paraId="5D93CC96">
      <w:pPr>
        <w:pStyle w:val="6"/>
        <w:widowControl/>
        <w:shd w:val="clear" w:color="auto" w:fill="FFFFFF"/>
        <w:spacing w:beforeAutospacing="0" w:afterAutospacing="0" w:line="480" w:lineRule="atLeast"/>
        <w:jc w:val="both"/>
        <w:rPr>
          <w:rFonts w:hint="default" w:cs="宋体"/>
          <w:color w:val="333333"/>
        </w:rPr>
      </w:pPr>
      <w:r>
        <w:rPr>
          <w:rFonts w:cs="宋体"/>
          <w:color w:val="333333"/>
          <w:shd w:val="clear" w:color="auto" w:fill="FFFFFF"/>
        </w:rPr>
        <w:t>二、投标人须知前附表2</w:t>
      </w:r>
    </w:p>
    <w:tbl>
      <w:tblPr>
        <w:tblStyle w:val="17"/>
        <w:tblW w:w="8546" w:type="dxa"/>
        <w:tblInd w:w="0" w:type="dxa"/>
        <w:shd w:val="clear" w:color="auto" w:fill="FFFFFF"/>
        <w:tblLayout w:type="fixed"/>
        <w:tblCellMar>
          <w:top w:w="0" w:type="dxa"/>
          <w:left w:w="0" w:type="dxa"/>
          <w:bottom w:w="0" w:type="dxa"/>
          <w:right w:w="0" w:type="dxa"/>
        </w:tblCellMar>
      </w:tblPr>
      <w:tblGrid>
        <w:gridCol w:w="480"/>
        <w:gridCol w:w="8066"/>
      </w:tblGrid>
      <w:tr w14:paraId="7611D308">
        <w:tblPrEx>
          <w:shd w:val="clear" w:color="auto" w:fill="FFFFFF"/>
        </w:tblPrEx>
        <w:tc>
          <w:tcPr>
            <w:tcW w:w="8546" w:type="dxa"/>
            <w:gridSpan w:val="2"/>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3609857">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关于电子招标投标活动的专门规定</w:t>
            </w:r>
          </w:p>
        </w:tc>
      </w:tr>
      <w:tr w14:paraId="7D76ED06">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F2516F5">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序号</w:t>
            </w:r>
          </w:p>
        </w:tc>
        <w:tc>
          <w:tcPr>
            <w:tcW w:w="806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475C884">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编列内容</w:t>
            </w:r>
          </w:p>
        </w:tc>
      </w:tr>
      <w:tr w14:paraId="4FC5AEE7">
        <w:tblPrEx>
          <w:shd w:val="clear" w:color="auto" w:fill="FFFFFF"/>
          <w:tblCellMar>
            <w:top w:w="0" w:type="dxa"/>
            <w:left w:w="0" w:type="dxa"/>
            <w:bottom w:w="0" w:type="dxa"/>
            <w:right w:w="0" w:type="dxa"/>
          </w:tblCellMar>
        </w:tblPrEx>
        <w:tc>
          <w:tcPr>
            <w:tcW w:w="48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A89AFC6">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w:t>
            </w:r>
          </w:p>
        </w:tc>
        <w:tc>
          <w:tcPr>
            <w:tcW w:w="806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E67BDD3">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（1）电子招标投标活动的专门规定适用本项目电子招标投标活动。</w:t>
            </w:r>
          </w:p>
          <w:p w14:paraId="1A5B38DA">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（2）将招标文件</w:t>
            </w:r>
          </w:p>
          <w:p w14:paraId="3D4BC0F1">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无。</w:t>
            </w:r>
          </w:p>
          <w:p w14:paraId="6448A2A2">
            <w:pPr>
              <w:widowControl/>
              <w:wordWrap w:val="0"/>
              <w:spacing w:line="480" w:lineRule="atLeast"/>
              <w:jc w:val="left"/>
              <w:rPr>
                <w:rFonts w:ascii="宋体" w:hAnsi="宋体" w:eastAsia="宋体" w:cs="宋体"/>
                <w:color w:val="333333"/>
                <w:sz w:val="24"/>
              </w:rPr>
            </w:pPr>
            <w:r>
              <w:rPr>
                <w:rFonts w:hint="eastAsia" w:ascii="宋体" w:hAnsi="宋体" w:eastAsia="宋体" w:cs="宋体"/>
                <w:color w:val="333333"/>
                <w:kern w:val="0"/>
                <w:sz w:val="24"/>
              </w:rPr>
              <w:t>的内容修正为下列内容：</w:t>
            </w:r>
          </w:p>
          <w:p w14:paraId="4A5A53AE">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无。</w:t>
            </w:r>
          </w:p>
          <w:p w14:paraId="3EC4BCF3">
            <w:pPr>
              <w:widowControl/>
              <w:jc w:val="left"/>
            </w:pPr>
            <w:r>
              <w:rPr>
                <w:rFonts w:hint="eastAsia" w:ascii="宋体" w:hAnsi="宋体" w:eastAsia="宋体" w:cs="宋体"/>
                <w:color w:val="333333"/>
                <w:kern w:val="0"/>
                <w:sz w:val="24"/>
              </w:rPr>
              <w:t>后适用本项目的电子招标投标活动。</w:t>
            </w:r>
          </w:p>
          <w:p w14:paraId="71621C63">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（3）将下列内容增列为招标文件的组成部分（以下简称：“增列内容”）适用本项目的电子招标投标活动，若增列内容与招标文件其他章节内容有冲突，应以增列内容为准：</w:t>
            </w:r>
          </w:p>
          <w:p w14:paraId="3252A91A">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①电子招标投标活动的具体操作流程以福建省政府采购网上公开信息系统设定的为准。</w:t>
            </w:r>
          </w:p>
          <w:p w14:paraId="3797E076">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②关于电子投标文件：</w:t>
            </w:r>
          </w:p>
          <w:p w14:paraId="6B95A70D">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a.投标人应按照福建省政府采购网上公开信息系统设定的评审节点编制电子投标文件，否则资格审查小组、评标委员会将按照不利于投标人的内容进行认定。</w:t>
            </w:r>
          </w:p>
          <w:p w14:paraId="5F472A09">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6EF550B">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③关于证明材料或资料：</w:t>
            </w:r>
          </w:p>
          <w:p w14:paraId="704A468E">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1A3A3BC">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b.若投标人提供注明“复印件无效”或“复印无效”的证明材料或资料，应结合上文a条款进行判定，若招标文件未要求投标人提供原件，投标人提供原件，复印件（含扫描件）均视为满足招标文件要求。</w:t>
            </w:r>
          </w:p>
          <w:p w14:paraId="02043B72">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④关于“全称”、“投标人代表签字”及“加盖单位公章”：</w:t>
            </w:r>
          </w:p>
          <w:p w14:paraId="06EC5FF3">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a.在电子投标文件中，涉及“全称”和“投标人代表签字”的内容可使用打字录入方式完成。</w:t>
            </w:r>
          </w:p>
          <w:p w14:paraId="496545F9">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b.在电子投标文件中，涉及“加盖单位公章”的内容应使用投标人的CA证书完成，否则投标无效。</w:t>
            </w:r>
          </w:p>
          <w:p w14:paraId="3AF51539">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c.在电子投标文件中，若投标人按照本增列内容第④点第b项规定加盖其单位公章，则出现无全称、或投标人代表未签字等情形，不视为投标无效。</w:t>
            </w:r>
          </w:p>
          <w:p w14:paraId="42381F8A">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⑤关于投标人的CA证书：</w:t>
            </w:r>
          </w:p>
          <w:p w14:paraId="66F7B1A7">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a.投标人的CA证书应在系统规定时间内使用CA证书进行电子投标文件的解密操作，逾期未解密的视为放弃投标。</w:t>
            </w:r>
          </w:p>
          <w:p w14:paraId="05817A56">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b.投标人的CA证书可采用信封（包括但不限于：信封、档案袋、文件袋等）作为外包装进行单独包装。外包装密封、不密封皆可。</w:t>
            </w:r>
          </w:p>
          <w:p w14:paraId="12E93376">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c.投标人的CA证书或外包装应标记“项目名称、项目编号、投标人的全称”等内容，以方便识别、使用。</w:t>
            </w:r>
          </w:p>
          <w:p w14:paraId="26B69188">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d.投标人的CA证书应能正常、有效使用，否则产生不利后果由投标人承担责任。</w:t>
            </w:r>
          </w:p>
          <w:p w14:paraId="0EB5774F">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⑥关于投标截止时间过后</w:t>
            </w:r>
          </w:p>
          <w:p w14:paraId="64E345BD">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a.未按招标文件规定提交投标保证金的，其投标将按无效投标处理。</w:t>
            </w:r>
          </w:p>
          <w:p w14:paraId="0DEB3002">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b.有下列情形之一的，其投标无效,其保证金不予退还或通过投标保函进行索赔：</w:t>
            </w:r>
          </w:p>
          <w:p w14:paraId="7C3FCE0D">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b1不同投标人的电子投标文件具有相同内部识别码；</w:t>
            </w:r>
          </w:p>
          <w:p w14:paraId="4BC7FA72">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b2不同投标人的投标保证金从同一单位或个人的账户转出；</w:t>
            </w:r>
          </w:p>
          <w:p w14:paraId="28977FAA">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b3投标人的投标保证金同一采购包下有其他投标人提交的投标保证金；</w:t>
            </w:r>
          </w:p>
          <w:p w14:paraId="02A861B4">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b4不同投标人存在串通投标的其他情形。</w:t>
            </w:r>
          </w:p>
          <w:p w14:paraId="322A1342">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⑦接受联合体投标且投标人为联合体的，投标人应由“联合体牵头方”完成福建省政府采购网上公开信息系统设定的具体操作流程（包括但不限于：招标文件获取、提交投标保证金、编制电子投标文件等）。</w:t>
            </w:r>
          </w:p>
          <w:p w14:paraId="6E3B1FE8">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⑧其他：</w:t>
            </w:r>
          </w:p>
          <w:p w14:paraId="07404541">
            <w:pPr>
              <w:pStyle w:val="4"/>
              <w:widowControl/>
              <w:wordWrap w:val="0"/>
              <w:spacing w:beforeAutospacing="0" w:afterAutospacing="0" w:line="480" w:lineRule="atLeast"/>
              <w:rPr>
                <w:rFonts w:ascii="宋体" w:hAnsi="宋体" w:eastAsia="宋体" w:cs="宋体"/>
              </w:rPr>
            </w:pPr>
            <w:r>
              <w:rPr>
                <w:rFonts w:hint="eastAsia" w:ascii="宋体" w:hAnsi="宋体" w:eastAsia="宋体" w:cs="宋体"/>
                <w:color w:val="333333"/>
              </w:rPr>
              <w:t>a、潜在供应商在福建省政府采购网上公开信息系统注册报名时应录入供应商中文全称，不应使用简称、字母、符号等，否则有可能造成电子投标无法进行或核验保证金未能通过而导致投标失败。b、投标人在开标现场用于解密的CA必须与制作该项目电子投标文件时所用CA为同一把CA，否则无法解密。 解密完成后，CA将退还投标人。c、福建省政府采购网上公开信息系统对投标保证金实行一个项目（采购包）一个账号的制度，系统平台自动生成供应商所投采购包的缴交银行账号，同一项目不同采购包同一投标人或不同投标人系统自动生成的账号均不相同，不得混用。 同一项目再次采购时将采用不同的账号，投标人需重新缴交投标保证金，否则会造成开标前核验保证金不能通过而导致投标失败。投标截止时间前投标人缴交的投标保证金处于保密状态，招标代理机构无法查询投标保证金的到账情况，请供应商务必留意。d、出现《福建省财政厅关于电子化政府采购项目中视为串标情形认定与处理的指导意见》中规定的视为串标情形的，将按照《福建省财政厅关于电子化政府采购项目中视为串标情形认定与处理的指导意见》进行处理。</w:t>
            </w:r>
          </w:p>
        </w:tc>
      </w:tr>
    </w:tbl>
    <w:p w14:paraId="1B70667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5C6C688C">
      <w:pPr>
        <w:rPr>
          <w:rFonts w:ascii="宋体" w:hAnsi="宋体" w:eastAsia="宋体" w:cs="宋体"/>
          <w:color w:val="333333"/>
          <w:sz w:val="39"/>
          <w:szCs w:val="39"/>
          <w:shd w:val="clear" w:color="auto" w:fill="FFFFFF"/>
        </w:rPr>
      </w:pPr>
      <w:r>
        <w:rPr>
          <w:rFonts w:hint="eastAsia" w:ascii="宋体" w:hAnsi="宋体" w:eastAsia="宋体" w:cs="宋体"/>
          <w:color w:val="333333"/>
          <w:sz w:val="39"/>
          <w:szCs w:val="39"/>
          <w:shd w:val="clear" w:color="auto" w:fill="FFFFFF"/>
        </w:rPr>
        <w:br w:type="page"/>
      </w:r>
    </w:p>
    <w:p w14:paraId="299458A1">
      <w:pPr>
        <w:pStyle w:val="8"/>
        <w:widowControl/>
        <w:shd w:val="clear" w:color="auto" w:fill="FFFFFF"/>
        <w:spacing w:beforeAutospacing="0" w:afterAutospacing="0" w:line="480" w:lineRule="atLeast"/>
        <w:jc w:val="center"/>
        <w:rPr>
          <w:rFonts w:hint="default" w:cs="宋体"/>
          <w:color w:val="333333"/>
          <w:sz w:val="39"/>
          <w:szCs w:val="39"/>
        </w:rPr>
      </w:pPr>
      <w:r>
        <w:rPr>
          <w:rFonts w:cs="宋体"/>
          <w:color w:val="333333"/>
          <w:sz w:val="39"/>
          <w:szCs w:val="39"/>
          <w:shd w:val="clear" w:color="auto" w:fill="FFFFFF"/>
        </w:rPr>
        <w:t>第三章 投标人须知</w:t>
      </w:r>
    </w:p>
    <w:p w14:paraId="768C849E">
      <w:pPr>
        <w:pStyle w:val="6"/>
        <w:widowControl/>
        <w:shd w:val="clear" w:color="auto" w:fill="FFFFFF"/>
        <w:spacing w:beforeAutospacing="0" w:afterAutospacing="0" w:line="480" w:lineRule="atLeast"/>
        <w:ind w:firstLine="420"/>
        <w:jc w:val="both"/>
        <w:rPr>
          <w:rFonts w:hint="default" w:cs="宋体"/>
          <w:color w:val="333333"/>
        </w:rPr>
      </w:pPr>
      <w:r>
        <w:rPr>
          <w:rFonts w:cs="宋体"/>
          <w:color w:val="333333"/>
          <w:shd w:val="clear" w:color="auto" w:fill="FFFFFF"/>
        </w:rPr>
        <w:t>一、总则</w:t>
      </w:r>
    </w:p>
    <w:p w14:paraId="3EFEF8B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1、适用范围</w:t>
      </w:r>
    </w:p>
    <w:p w14:paraId="5E1BA37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1.1适用于招标文件载明项目的政府采购活动（以下简称：“本次采购活动”）。</w:t>
      </w:r>
    </w:p>
    <w:p w14:paraId="528A9CF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2、定义</w:t>
      </w:r>
    </w:p>
    <w:p w14:paraId="48E13F5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2.1“采购标的”指招标文件载明的需要采购的货物或服务。</w:t>
      </w:r>
    </w:p>
    <w:p w14:paraId="0B33B98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2.2“潜在投标人”指按照招标文件第一章第7条规定获取招标文件且有意向参加本项目投标的供应商。</w:t>
      </w:r>
    </w:p>
    <w:p w14:paraId="09214BC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2.3“投标人”指按照招标文件第一章第7条规定获取招标文件并参加本项目投标的供应商。</w:t>
      </w:r>
    </w:p>
    <w:p w14:paraId="76F9992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2.4“单位负责人”指单位法定代表人或法律、法规规定代表单位行使职权的主要负责人。</w:t>
      </w:r>
    </w:p>
    <w:p w14:paraId="5FEB95A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2.5“投标人代表”指投标人的单位负责人或“单位负责人授权书”中载明的接受授权方。</w:t>
      </w:r>
    </w:p>
    <w:p w14:paraId="00D8A4C4">
      <w:pPr>
        <w:pStyle w:val="6"/>
        <w:widowControl/>
        <w:shd w:val="clear" w:color="auto" w:fill="FFFFFF"/>
        <w:spacing w:beforeAutospacing="0" w:afterAutospacing="0" w:line="480" w:lineRule="atLeast"/>
        <w:ind w:firstLine="420"/>
        <w:jc w:val="both"/>
        <w:rPr>
          <w:rFonts w:hint="default" w:cs="宋体"/>
          <w:color w:val="333333"/>
        </w:rPr>
      </w:pPr>
      <w:r>
        <w:rPr>
          <w:rFonts w:cs="宋体"/>
          <w:color w:val="333333"/>
          <w:shd w:val="clear" w:color="auto" w:fill="FFFFFF"/>
        </w:rPr>
        <w:t>二、投标人</w:t>
      </w:r>
    </w:p>
    <w:p w14:paraId="57B151A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3、合格投标人</w:t>
      </w:r>
    </w:p>
    <w:p w14:paraId="2DE6F13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3.1一般规定</w:t>
      </w:r>
    </w:p>
    <w:p w14:paraId="0455857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F4271D3">
      <w:pPr>
        <w:pStyle w:val="4"/>
        <w:widowControl/>
        <w:shd w:val="clear" w:color="auto" w:fill="FFFFFF"/>
        <w:spacing w:beforeAutospacing="0" w:afterAutospacing="0" w:line="480" w:lineRule="atLeast"/>
        <w:ind w:firstLine="420"/>
        <w:rPr>
          <w:rFonts w:ascii="宋体" w:hAnsi="宋体" w:eastAsia="宋体" w:cs="宋体"/>
          <w:color w:val="333333"/>
        </w:rPr>
      </w:pPr>
      <w:r>
        <w:rPr>
          <w:rFonts w:hint="eastAsia" w:ascii="宋体" w:hAnsi="宋体" w:eastAsia="宋体" w:cs="宋体"/>
          <w:color w:val="333333"/>
          <w:shd w:val="clear" w:color="auto" w:fill="FFFFFF"/>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510DD1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（2）投标人的资格要求：详见招标文件第一章。</w:t>
      </w:r>
    </w:p>
    <w:p w14:paraId="69A7A10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3.2若本项目接受联合体投标且投标人为联合体，则联合体各方应遵守本章第3.1条规定，同时还应遵守下列规定：</w:t>
      </w:r>
    </w:p>
    <w:p w14:paraId="29AF106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（1）联合体各方应提交联合体协议，联合体协议应符合招标文件规定。</w:t>
      </w:r>
    </w:p>
    <w:p w14:paraId="4893318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（2）联合体各方不得再单独参加或与其他供应商另外组成联合体参加同一合同项下的投标。</w:t>
      </w:r>
    </w:p>
    <w:p w14:paraId="2B394B5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（3）联合体各方应共同与采购人签订政府采购合同，就政府采购合同约定的事项对采购人承担连带责任。</w:t>
      </w:r>
    </w:p>
    <w:p w14:paraId="0F10C4D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982041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（5）联合体一方放弃中标的，视为联合体整体放弃中标，联合体各方承担连带责任。</w:t>
      </w:r>
    </w:p>
    <w:p w14:paraId="615D496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（6）如本项目不接受联合体投标而投标人为联合体的，或者本项目接受联合体投标但投标人组成的联合体不符合本章第3.2条规定的，投标无效。</w:t>
      </w:r>
    </w:p>
    <w:p w14:paraId="71ADFBE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4、投标费用</w:t>
      </w:r>
    </w:p>
    <w:p w14:paraId="2911AD5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4.1除招标文件另有规定外，投标人应自行承担其参加本项目投标所涉及的一切费用。</w:t>
      </w:r>
    </w:p>
    <w:p w14:paraId="6BDA88FE">
      <w:pPr>
        <w:pStyle w:val="6"/>
        <w:widowControl/>
        <w:shd w:val="clear" w:color="auto" w:fill="FFFFFF"/>
        <w:spacing w:beforeAutospacing="0" w:afterAutospacing="0" w:line="480" w:lineRule="atLeast"/>
        <w:ind w:firstLine="420"/>
        <w:jc w:val="both"/>
        <w:rPr>
          <w:rFonts w:hint="default" w:cs="宋体"/>
          <w:color w:val="333333"/>
        </w:rPr>
      </w:pPr>
      <w:r>
        <w:rPr>
          <w:rFonts w:cs="宋体"/>
          <w:color w:val="333333"/>
          <w:shd w:val="clear" w:color="auto" w:fill="FFFFFF"/>
        </w:rPr>
        <w:t>三、招标</w:t>
      </w:r>
    </w:p>
    <w:p w14:paraId="3793516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5、招标文件</w:t>
      </w:r>
    </w:p>
    <w:p w14:paraId="414D15B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5.1招标文件由下述部分组成：</w:t>
      </w:r>
    </w:p>
    <w:p w14:paraId="498774F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（1）投标邀请</w:t>
      </w:r>
    </w:p>
    <w:p w14:paraId="7792747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（2）投标人须知前附表（表1、2）</w:t>
      </w:r>
    </w:p>
    <w:p w14:paraId="540DC70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（3）投标人须知</w:t>
      </w:r>
    </w:p>
    <w:p w14:paraId="443D1FC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（4）资格审查与评标</w:t>
      </w:r>
    </w:p>
    <w:p w14:paraId="33FDBC4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（5）招标内容及要求</w:t>
      </w:r>
    </w:p>
    <w:p w14:paraId="3C90B28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（6）政府采购合同（参考文本）</w:t>
      </w:r>
    </w:p>
    <w:p w14:paraId="07DBCA7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（7）电子投标文件格式</w:t>
      </w:r>
    </w:p>
    <w:p w14:paraId="5AE726F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（8）按照招标文件规定作为招标文件组成部分的其他内容（若有）</w:t>
      </w:r>
    </w:p>
    <w:p w14:paraId="5DD3B0A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5.2招标文件的澄清或修改</w:t>
      </w:r>
    </w:p>
    <w:p w14:paraId="61D60F0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 福建省新卫招标代理有限公司 可对已发出的招标文件进行必要的澄清或修改，但不得对招标文件载明的采购标的和投标人的资格要求进行改变。</w:t>
      </w:r>
    </w:p>
    <w:p w14:paraId="1A0E3B0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（2）除本章第5.2条第（3）款规定情形外，澄清或修改的内容可能影响电子投标文件编制的， 福建省新卫招标代理有限公司 将在投标截止时间至少15个日历日前，在招标文件载明的指定媒体以更正公告的形式发布澄清或修改的内容。不足15个日历日的， 福建省新卫招标代理有限公司 将顺延投标截止时间及开标时间， 福建省新卫招标代理有限公司 和投标人受原投标截止时间及开标时间制约的所有权利和义务均延长至新的投标截止时间及开标时间。</w:t>
      </w:r>
    </w:p>
    <w:p w14:paraId="4D7D5BD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（3）澄清或修改的内容可能改变招标文件载明的采购标的和投标人的资格要求的，本次采购活动结束， 福建省新卫招标代理有限公司 将依法组织后续采购活动（包括但不限于：重新招标、采用其他方式采购等）。</w:t>
      </w:r>
    </w:p>
    <w:p w14:paraId="4429F0D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6、现场考察或开标前答疑会</w:t>
      </w:r>
    </w:p>
    <w:p w14:paraId="130AB04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6.1是否组织现场考察或召开开标前答疑会：详见招标文件第二章。</w:t>
      </w:r>
    </w:p>
    <w:p w14:paraId="09494B4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7、更正公告</w:t>
      </w:r>
    </w:p>
    <w:p w14:paraId="0010494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7.1若 福建省新卫招标代理有限公司 发布更正公告，则更正公告及其所发布的内容或信息（包括但不限于：招标文件的澄清或修改、现场考察或答疑会的有关事宜等）作为招标文件组成部分，对投标人具有约束力。</w:t>
      </w:r>
    </w:p>
    <w:p w14:paraId="2213577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7.2更正公告作为 福建省新卫招标代理有限公司 通知所有潜在投标人的书面形式。</w:t>
      </w:r>
    </w:p>
    <w:p w14:paraId="2053449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8、终止公告</w:t>
      </w:r>
    </w:p>
    <w:p w14:paraId="04FBEEE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8.1若出现因重大变故导致采购任务取消情形， 福建省新卫招标代理有限公司 可终止招标并发布终止公告。</w:t>
      </w:r>
    </w:p>
    <w:p w14:paraId="6FAC698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8.2终止公告作为 福建省新卫招标代理有限公司 通知所有潜在投标人的书面形式。</w:t>
      </w:r>
    </w:p>
    <w:p w14:paraId="5A5222D9">
      <w:pPr>
        <w:pStyle w:val="6"/>
        <w:widowControl/>
        <w:shd w:val="clear" w:color="auto" w:fill="FFFFFF"/>
        <w:spacing w:beforeAutospacing="0" w:afterAutospacing="0" w:line="480" w:lineRule="atLeast"/>
        <w:ind w:firstLine="420"/>
        <w:jc w:val="both"/>
        <w:rPr>
          <w:rFonts w:hint="default" w:cs="宋体"/>
          <w:color w:val="333333"/>
        </w:rPr>
      </w:pPr>
      <w:r>
        <w:rPr>
          <w:rFonts w:cs="宋体"/>
          <w:color w:val="333333"/>
          <w:shd w:val="clear" w:color="auto" w:fill="FFFFFF"/>
        </w:rPr>
        <w:t>四、投标</w:t>
      </w:r>
    </w:p>
    <w:p w14:paraId="4236AAD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9、投标</w:t>
      </w:r>
    </w:p>
    <w:p w14:paraId="7CD6BAE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9.1投标人可对招标文件载明的全部或部分采购包进行投标。</w:t>
      </w:r>
    </w:p>
    <w:p w14:paraId="32DA51B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9.2投标人应对同一个采购包内的所有内容进行完整投标，否则投标无效。</w:t>
      </w:r>
    </w:p>
    <w:p w14:paraId="366C95B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9.3投标人代表只能接受一个投标人的授权参加投标，否则投标无效。</w:t>
      </w:r>
    </w:p>
    <w:p w14:paraId="15E1B6C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9.4单位负责人为同一人或存在直接控股、管理关系的不同供应商，不得同时参加同一合同项下的投标，否则投标无效。</w:t>
      </w:r>
    </w:p>
    <w:p w14:paraId="22B6940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9.5为本项目提供整体设计、规范编制或项目管理、监理、检测等服务的供应商，不得参加本项目除整体设计、规范编制和项目管理、监理、检测等服务外的采购活动，否则投标无效。</w:t>
      </w:r>
    </w:p>
    <w:p w14:paraId="44D81CB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9.6列入失信被执行人、重大税收违法案件当事人名单、政府采购严重违法失信行为记录名单及其他不符合政府采购法第二十二条规定条件的供应商，不得参加投标，否则投标无效。</w:t>
      </w:r>
    </w:p>
    <w:p w14:paraId="10FBD09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9.7有下列情形之一的，视为投标人串通投标，其投标无效：</w:t>
      </w:r>
    </w:p>
    <w:p w14:paraId="32C668F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（1）不同投标人的电子投标文件由同一单位或个人编制；</w:t>
      </w:r>
    </w:p>
    <w:p w14:paraId="0056C66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（2）不同投标人委托同一单位或个人办理投标事宜；</w:t>
      </w:r>
    </w:p>
    <w:p w14:paraId="6912EDC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（3）不同投标人的电子投标文件载明的项目管理成员或联系人员为同一人；</w:t>
      </w:r>
    </w:p>
    <w:p w14:paraId="3313228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（4）不同投标人的电子投标文件异常一致或投标报价呈规律性差异；</w:t>
      </w:r>
    </w:p>
    <w:p w14:paraId="4FA96FD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（5）不同投标人的电子投标文件相互混装；</w:t>
      </w:r>
    </w:p>
    <w:p w14:paraId="56D52D6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（6）不同投标人的投标保证金从同一单位或个人的账户转出；</w:t>
      </w:r>
    </w:p>
    <w:p w14:paraId="5D3B1DB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（7）有关法律、法规和规章及招标文件规定的其他串通投标情形。</w:t>
      </w:r>
    </w:p>
    <w:p w14:paraId="2C5801C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10、电子投标文件</w:t>
      </w:r>
    </w:p>
    <w:p w14:paraId="2F343F0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10.1电子投标文件的编制</w:t>
      </w:r>
    </w:p>
    <w:p w14:paraId="438E26F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（1）投标人应先仔细阅读招标文件的全部内容后，再进行电子投标文件的编制。</w:t>
      </w:r>
    </w:p>
    <w:p w14:paraId="401C34D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（2）电子投标文件应按照本章第10.2条规定编制其组成部分。</w:t>
      </w:r>
    </w:p>
    <w:p w14:paraId="37CA28B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（3）电子投标文件应满足招标文件提出的实质性要求和条件，并保证其所提交的全部资料是不可割离且真实、有效、准确、完整和不具有任何误导性的，否则造成不利后果由投标人承担责任。</w:t>
      </w:r>
    </w:p>
    <w:p w14:paraId="258CB16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10.2电子投标文件由下述部分组成：</w:t>
      </w:r>
    </w:p>
    <w:p w14:paraId="473DE82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（1）资格及资信证明部分</w:t>
      </w:r>
    </w:p>
    <w:p w14:paraId="2963B0E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①投标函</w:t>
      </w:r>
    </w:p>
    <w:p w14:paraId="62DC2DA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②投标人的资格及资信证明文件</w:t>
      </w:r>
    </w:p>
    <w:p w14:paraId="7C1A6D8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③投标保证金</w:t>
      </w:r>
    </w:p>
    <w:p w14:paraId="28D7BB2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（2）报价部分</w:t>
      </w:r>
    </w:p>
    <w:p w14:paraId="4850124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①开标（报价）一览表</w:t>
      </w:r>
    </w:p>
    <w:p w14:paraId="3CCA8A4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②投标（响应）报价明细表</w:t>
      </w:r>
    </w:p>
    <w:p w14:paraId="4432C57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③招标文件规定的价格扣除证明材料（若有）</w:t>
      </w:r>
    </w:p>
    <w:p w14:paraId="7A8BBAC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④招标文件规定的加分证明材料（若有）</w:t>
      </w:r>
    </w:p>
    <w:p w14:paraId="7A5599A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（3）技术商务部分</w:t>
      </w:r>
    </w:p>
    <w:p w14:paraId="6DDC3ED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①标的说明一览表</w:t>
      </w:r>
    </w:p>
    <w:p w14:paraId="1292F94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②技术和服务要求响应表</w:t>
      </w:r>
    </w:p>
    <w:p w14:paraId="2BDC766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③商务条件响应表</w:t>
      </w:r>
    </w:p>
    <w:p w14:paraId="4101DB7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④投标人提交的其他资料（若有）</w:t>
      </w:r>
    </w:p>
    <w:p w14:paraId="09A84E8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⑤招标文件规定作为电子投标文件组成部分的其他内容（若有）</w:t>
      </w:r>
    </w:p>
    <w:p w14:paraId="3F1CB51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10.3电子投标文件的语言</w:t>
      </w:r>
    </w:p>
    <w:p w14:paraId="7EA5793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（1）除招标文件另有规定外，电子投标文件应使用中文文本，若有不同文本，以中文文本为准。</w:t>
      </w:r>
    </w:p>
    <w:p w14:paraId="2A360AB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D2F7D1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10.4投标文件的份数：详见招标文件第二章。</w:t>
      </w:r>
    </w:p>
    <w:p w14:paraId="250F8E6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10.5电子投标文件的格式</w:t>
      </w:r>
    </w:p>
    <w:p w14:paraId="715EF03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（1）除招标文件另有规定外，电子投标文件应使用招标文件第七章规定的格式。</w:t>
      </w:r>
    </w:p>
    <w:p w14:paraId="393D486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（2）除招标文件另有规定外，电子投标文件应使用不能擦去的墨料或墨水打印、书写或复印。</w:t>
      </w:r>
    </w:p>
    <w:p w14:paraId="5DD39EB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（3）除招标文件另有规定外，电子投标文件应使用人民币作为计量货币。</w:t>
      </w:r>
    </w:p>
    <w:p w14:paraId="58536F0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（4）除招标文件另有规定外，签署、盖章应遵守下列规定：</w:t>
      </w:r>
    </w:p>
    <w:p w14:paraId="5953484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①电子投标文件应加盖投标人的单位公章。若投标人代表为单位授权的委托代理人，应提供“单位授权书”。</w:t>
      </w:r>
    </w:p>
    <w:p w14:paraId="69CF4B4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②电子投标文件应没有涂改或行间插字，除非这些改动是根据 福建省新卫招标代理有限公司 的指示进行的，或是为改正投标人造成的应修改的错误而进行的。若有前述改动，应按照下列规定之一对改动处进行处理：</w:t>
      </w:r>
    </w:p>
    <w:p w14:paraId="3D87803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a.投标人代表签字确认；</w:t>
      </w:r>
    </w:p>
    <w:p w14:paraId="0B9A9F3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b.加盖投标人的单位公章或校正章。</w:t>
      </w:r>
    </w:p>
    <w:p w14:paraId="4618C8B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10.6投标报价</w:t>
      </w:r>
    </w:p>
    <w:p w14:paraId="788FDF1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（1）投标报价超出最高限价将导致投标无效。</w:t>
      </w:r>
    </w:p>
    <w:p w14:paraId="07358F3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（2）最高限价由采购人根据价格测算情况，在预算金额的额度内合理设定。最高限价不得超出预算金额。</w:t>
      </w:r>
    </w:p>
    <w:p w14:paraId="18D2262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（3）除招标文件另有规定外，电子投标文件不能出现任何选择性的投标报价，即每一个采购包和品目号的采购标的都只能有一个投标报价。任何选择性的投标报价将导致投标无效。</w:t>
      </w:r>
    </w:p>
    <w:p w14:paraId="273A479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10.7分包</w:t>
      </w:r>
    </w:p>
    <w:p w14:paraId="47A6FE2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（1）是否允许中标人将本项目的非主体、非关键性工作进行分包：详见招标文件第二章。</w:t>
      </w:r>
    </w:p>
    <w:p w14:paraId="6DA4DD8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4C9490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（3）招标文件允许中标人将非主体、非关键性工作进行分包的项目，有下列情形之一的，中标人不得分包：</w:t>
      </w:r>
    </w:p>
    <w:p w14:paraId="782FB1E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①电子投标文件中未载明分包承担主体；</w:t>
      </w:r>
    </w:p>
    <w:p w14:paraId="450021D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②电子投标文件载明的分包承担主体不具备相应资质条件；</w:t>
      </w:r>
    </w:p>
    <w:p w14:paraId="4537E44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③电子投标文件载明的分包承担主体拟再次分包；</w:t>
      </w:r>
    </w:p>
    <w:p w14:paraId="44F2FC5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④享受中小企业扶持政策获得政府采购合同的，小微企业不得将合同分包给大中型企业，中型企业不得将合同分包给大型企业。</w:t>
      </w:r>
    </w:p>
    <w:p w14:paraId="610546D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10.8投标有效期</w:t>
      </w:r>
    </w:p>
    <w:p w14:paraId="39BD854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（1）招标文件载明的投标有效期：详见招标文件第二章。</w:t>
      </w:r>
    </w:p>
    <w:p w14:paraId="4948221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（2）电子投标文件承诺的投标有效期不得少于招标文件载明的投标有效期，否则投标无效。</w:t>
      </w:r>
    </w:p>
    <w:p w14:paraId="3AB16B9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（3）根据本次采购活动的需要， 福建省新卫招标代理有限公司 可于投标有效期届满之前书面要求投标人延长投标有效期，投标人应在 福建省新卫招标代理有限公司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49FC0E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10.9投标保证金</w:t>
      </w:r>
    </w:p>
    <w:p w14:paraId="55CCBD7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（1）投标保证金作为投标人按照招标文件规定履行相应投标责任、义务的约束及担保。</w:t>
      </w:r>
    </w:p>
    <w:p w14:paraId="6B3EAA0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（2）投标人以电子保函形式提交投标保证金的，保函的有效期应等于或长于电子投标文件承诺的投标有效期，否则投标无效。</w:t>
      </w:r>
    </w:p>
    <w:p w14:paraId="309CE9D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（3）提交</w:t>
      </w:r>
    </w:p>
    <w:p w14:paraId="4C96256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①投标人以汇款形式缴纳投标保证金的，应从其银行账户（基本存款账户）按照下列方式：公对公转账方式向招标文件载明的投标保证金账户提交投标保证金，具体金额详见招标文件第一章。</w:t>
      </w:r>
    </w:p>
    <w:p w14:paraId="179F6F4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C9BC023">
      <w:pPr>
        <w:widowControl/>
        <w:shd w:val="clear" w:color="auto" w:fill="FFFFFF"/>
        <w:spacing w:line="480" w:lineRule="atLeast"/>
        <w:ind w:firstLine="420"/>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rPr>
        <w:t>③其他形式：</w:t>
      </w:r>
    </w:p>
    <w:p w14:paraId="2FB6927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无。</w:t>
      </w:r>
    </w:p>
    <w:p w14:paraId="1C4B6BD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④若本项目接受联合体投标且投标人为联合体，则联合体中的牵头方应按照本章第10.9条第（3）款第①、②、③点规定提交投标保证金。</w:t>
      </w:r>
    </w:p>
    <w:p w14:paraId="000CFFE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※除招标文件另有规定外，未按照上述规定提交投标保证金将导致资格审查不合格。</w:t>
      </w:r>
    </w:p>
    <w:p w14:paraId="7F38189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（4）退还</w:t>
      </w:r>
    </w:p>
    <w:p w14:paraId="6C86FF9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①在投标截止时间前撤回已提交的电子投标文件的投标人，其投标保证金将在 福建省新卫招标代理有限公司 收到投标人书面撤回通知之日起5个工作日内退回原账户。</w:t>
      </w:r>
    </w:p>
    <w:p w14:paraId="158408A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②未中标人的投标保证金将在中标通知书发出之日起5个工作日内退回原账户。</w:t>
      </w:r>
    </w:p>
    <w:p w14:paraId="0874C16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③中标人的投标保证金将在政府采购合同签订之日起5个工作日内退回原账户；合同签订之日以福建省政府采购网上公开信息系统记载的为准。</w:t>
      </w:r>
    </w:p>
    <w:p w14:paraId="0A929EE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④终止招标的， 福建省新卫招标代理有限公司 将在终止公告发布之日起5个工作日内退回已收取的投标保证金及其在银行产生的孳息。</w:t>
      </w:r>
    </w:p>
    <w:p w14:paraId="784393C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⑤除招标文件另有规定外，质疑或投诉涉及的投标人，若投标保证金尚未退还，则待质疑或投诉处理完毕后不计利息原额退还。</w:t>
      </w:r>
    </w:p>
    <w:p w14:paraId="3A3BB02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※本章第10.9条第（4）款第①、②、③点规定的投标保证金退还时限不包括因投标人自身原因导致无法及时退还而增加的时间。</w:t>
      </w:r>
    </w:p>
    <w:p w14:paraId="156CE5F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9C3E86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（6）有下列情形之一的，投标保证金将不予退还或通过投标保函进行索赔：</w:t>
      </w:r>
    </w:p>
    <w:p w14:paraId="0B85B1A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①投标人串通投标；</w:t>
      </w:r>
    </w:p>
    <w:p w14:paraId="17B785A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②投标人提供虚假材料；</w:t>
      </w:r>
    </w:p>
    <w:p w14:paraId="19E8EA9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③投标人采取不正当手段诋毁、排挤其他投标人；</w:t>
      </w:r>
    </w:p>
    <w:p w14:paraId="17169AE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④投标截止时间后，投标人在投标有效期内撤销电子投标文件；</w:t>
      </w:r>
    </w:p>
    <w:p w14:paraId="59E611A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⑤招标文件规定的其他不予退还情形；</w:t>
      </w:r>
    </w:p>
    <w:p w14:paraId="40F111A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⑥中标人有下列情形之一的：</w:t>
      </w:r>
    </w:p>
    <w:p w14:paraId="2B0EC4E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a.除不可抗力外，因中标人自身原因未在中标通知书要求的期限内与采购人签订政府采购合同；</w:t>
      </w:r>
    </w:p>
    <w:p w14:paraId="56E40D6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b.未按照招标文件、投标文件的约定签订政府采购合同或提交履约保证金。</w:t>
      </w:r>
    </w:p>
    <w:p w14:paraId="2A59D03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※若上述投标保证金不予退还情形给采购人（采购代理机构）造成损失，则投标人还要承担相应的赔偿责任。</w:t>
      </w:r>
    </w:p>
    <w:p w14:paraId="7359A9D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10.10电子投标文件的提交</w:t>
      </w:r>
    </w:p>
    <w:p w14:paraId="5A7CD4E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（1）一个投标人只能提交一个电子投标文件，并按照招标文件第一章规定在系统上完成上传、解密操作。</w:t>
      </w:r>
    </w:p>
    <w:p w14:paraId="2BD3404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10.11电子投标文件的补充、修改或撤回</w:t>
      </w:r>
    </w:p>
    <w:p w14:paraId="7EBF43C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（1）投标截止时间前，投标人可对所提交的电子投标文件进行补充、修改或撤回，并书面通知 福建省新卫招标代理有限公司 。</w:t>
      </w:r>
    </w:p>
    <w:p w14:paraId="1F8E212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（2）补充、修改的内容应按照本章第10.5条第（4）款规定进行签署、盖章，并按照本章第10.10条规定提交，否则将被拒收。</w:t>
      </w:r>
    </w:p>
    <w:p w14:paraId="26AAC3B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※按照上述规定提交的补充、修改内容作为电子投标文件组成部分。</w:t>
      </w:r>
    </w:p>
    <w:p w14:paraId="2E8BED0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10.12除招标文件另有规定外，有下列情形之一的，投标无效：</w:t>
      </w:r>
    </w:p>
    <w:p w14:paraId="2D88099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（1）电子投标文件未按照招标文件要求签署、盖章；</w:t>
      </w:r>
    </w:p>
    <w:p w14:paraId="0686429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（2）不符合招标文件中规定的资格要求；</w:t>
      </w:r>
    </w:p>
    <w:p w14:paraId="1E5B796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（3）投标报价超过招标文件中规定的预算金额或最高限价；</w:t>
      </w:r>
    </w:p>
    <w:p w14:paraId="0A70729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（4）电子投标文件含有采购人不能接受的附加条件；</w:t>
      </w:r>
    </w:p>
    <w:p w14:paraId="474C5D9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（5）有关法律、法规和规章及招标文件规定的其他无效情形。</w:t>
      </w:r>
    </w:p>
    <w:p w14:paraId="65B1E1E7">
      <w:pPr>
        <w:pStyle w:val="6"/>
        <w:widowControl/>
        <w:shd w:val="clear" w:color="auto" w:fill="FFFFFF"/>
        <w:spacing w:beforeAutospacing="0" w:afterAutospacing="0" w:line="480" w:lineRule="atLeast"/>
        <w:jc w:val="both"/>
        <w:rPr>
          <w:rFonts w:hint="default" w:cs="宋体"/>
          <w:color w:val="333333"/>
        </w:rPr>
      </w:pPr>
      <w:r>
        <w:rPr>
          <w:rFonts w:cs="宋体"/>
          <w:color w:val="333333"/>
          <w:shd w:val="clear" w:color="auto" w:fill="FFFFFF"/>
        </w:rPr>
        <w:t>五、开标</w:t>
      </w:r>
    </w:p>
    <w:p w14:paraId="446D1B1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11、开标</w:t>
      </w:r>
    </w:p>
    <w:p w14:paraId="219C866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11.1 福建省新卫招标代理有限公司 将在招标文件载明的开标时间及地点主持召开开标会，并邀请投标人参加。</w:t>
      </w:r>
    </w:p>
    <w:p w14:paraId="36D645D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11.2开标会的主持人、唱标人、记录人及其他工作人员（若有）均由 福建省新卫招标代理有限公司 派出，现场监督人员（若有）可由有关方面派出。</w:t>
      </w:r>
    </w:p>
    <w:p w14:paraId="2B16122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481EEB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11.4开标会应遵守下列规定：</w:t>
      </w:r>
    </w:p>
    <w:p w14:paraId="62E906C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D32FE8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5B708A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（3）唱标结束后，参加现场开标会的投标人代表应对开标记录进行签字确认，通过远程参与开标流程的投标人须在系统远程签章开启后，在系统规定时间内对开标结果进行签章确认。</w:t>
      </w:r>
    </w:p>
    <w:p w14:paraId="59AA1A9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CF93FC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（5）若投标人未到开标现场参加开标会，也未通过远程参加开标会的，视同认可开标结果。</w:t>
      </w:r>
    </w:p>
    <w:p w14:paraId="45CD485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福建省新卫招标代理有限公司 提出任何疑义或要求（包括质疑）。</w:t>
      </w:r>
    </w:p>
    <w:p w14:paraId="13FBC2B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11.5投标截止时间后，参加投标的投标人不足三家的，不进行开标。同时，本次采购活动结束， 福建省新卫招标代理有限公司 将依法组织后续采购活动（包括但不限于：重新招标、采用其他方式采购等）。</w:t>
      </w:r>
    </w:p>
    <w:p w14:paraId="7AB2101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11.6投标截止时间后撤销投标的处理</w:t>
      </w:r>
    </w:p>
    <w:p w14:paraId="1F229D4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投标截止时间后，投标人在投标有效期内撤销投标的，其撤销投标的行为无效。</w:t>
      </w:r>
    </w:p>
    <w:p w14:paraId="4805FDEE">
      <w:pPr>
        <w:pStyle w:val="6"/>
        <w:widowControl/>
        <w:shd w:val="clear" w:color="auto" w:fill="FFFFFF"/>
        <w:spacing w:beforeAutospacing="0" w:afterAutospacing="0" w:line="480" w:lineRule="atLeast"/>
        <w:jc w:val="both"/>
        <w:rPr>
          <w:rFonts w:hint="default" w:cs="宋体"/>
          <w:color w:val="333333"/>
        </w:rPr>
      </w:pPr>
      <w:r>
        <w:rPr>
          <w:rFonts w:cs="宋体"/>
          <w:color w:val="333333"/>
          <w:shd w:val="clear" w:color="auto" w:fill="FFFFFF"/>
        </w:rPr>
        <w:t>六、中标与政府采购合同</w:t>
      </w:r>
    </w:p>
    <w:p w14:paraId="15E345B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12、中标</w:t>
      </w:r>
    </w:p>
    <w:p w14:paraId="3804E67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12.1本项目推荐的中标候选人家数：详见招标文件第二章。</w:t>
      </w:r>
    </w:p>
    <w:p w14:paraId="5806398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12.2本项目中标人的确定：详见招标文件第二章。</w:t>
      </w:r>
    </w:p>
    <w:p w14:paraId="5DEB1D0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12.3中标公告</w:t>
      </w:r>
    </w:p>
    <w:p w14:paraId="2949875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（1）中标人确定之日起2个工作日内， 福建省新卫招标代理有限公司 将在招标文件载明的指定媒体以中标公告的形式发布中标结果。</w:t>
      </w:r>
    </w:p>
    <w:p w14:paraId="14CC722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（2）中标公告的公告期限为1个工作日。</w:t>
      </w:r>
    </w:p>
    <w:p w14:paraId="5C807D7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12.4中标通知书</w:t>
      </w:r>
    </w:p>
    <w:p w14:paraId="46D8948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（1）中标公告发布的同时， 福建省新卫招标代理有限公司 将向中标人发出中标通知书。</w:t>
      </w:r>
    </w:p>
    <w:p w14:paraId="1088296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（2）中标通知书发出后，采购人不得违法改变中标结果，中标人无正当理由不得放弃中标。</w:t>
      </w:r>
    </w:p>
    <w:p w14:paraId="30D3659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13、政府采购合同</w:t>
      </w:r>
    </w:p>
    <w:p w14:paraId="5B313EE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B3537D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13.2签订时限：详见须知前附表1的13.2。</w:t>
      </w:r>
    </w:p>
    <w:p w14:paraId="0A3CA49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13.3政府采购合同的履行、违约责任和解决争议的方法等适用民法典。</w:t>
      </w:r>
    </w:p>
    <w:p w14:paraId="57CEB35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13.4采购人与中标人应根据政府采购合同的约定依法履行合同义务。</w:t>
      </w:r>
    </w:p>
    <w:p w14:paraId="7957F75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13.5政府采购合同履行过程中，采购人若需追加与合同标的相同的货物或服务，则追加采购金额不得超过原合同采购金额的10%。</w:t>
      </w:r>
    </w:p>
    <w:p w14:paraId="3F16CDC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13.6中标人在政府采购合同履行过程中应遵守有关法律、法规和规章的强制性规定（即使前述强制性规定有可能在招标文件中未予列明）。</w:t>
      </w:r>
    </w:p>
    <w:p w14:paraId="7DD4532B">
      <w:pPr>
        <w:pStyle w:val="6"/>
        <w:widowControl/>
        <w:shd w:val="clear" w:color="auto" w:fill="FFFFFF"/>
        <w:spacing w:beforeAutospacing="0" w:afterAutospacing="0" w:line="480" w:lineRule="atLeast"/>
        <w:jc w:val="both"/>
        <w:rPr>
          <w:rFonts w:hint="default" w:cs="宋体"/>
          <w:color w:val="333333"/>
        </w:rPr>
      </w:pPr>
      <w:r>
        <w:rPr>
          <w:rFonts w:cs="宋体"/>
          <w:color w:val="333333"/>
          <w:shd w:val="clear" w:color="auto" w:fill="FFFFFF"/>
        </w:rPr>
        <w:t>七、询问、质疑与投诉</w:t>
      </w:r>
    </w:p>
    <w:p w14:paraId="4D3DAEF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14、询问</w:t>
      </w:r>
    </w:p>
    <w:p w14:paraId="5309A69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14.1潜在投标人或投标人对本次采购活动的有关事项若有疑问，可向 福建省新卫招标代理有限公司 提出询问， 福建省新卫招标代理有限公司 将按照政府采购法及实施条例的有关规定进行答复。</w:t>
      </w:r>
    </w:p>
    <w:p w14:paraId="37352BD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15、质疑</w:t>
      </w:r>
    </w:p>
    <w:p w14:paraId="3103FC4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15.1针对同一采购程序环节的质疑应在政府采购法及实施条例的时限内一次性提出，对一个项目的不同采购包提出质疑的，应当将各采购包质疑事项集中在一份质疑函中提出，并同时符合下列条件：</w:t>
      </w:r>
    </w:p>
    <w:p w14:paraId="283F2CB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（1）对招标文件提出质疑的，质疑人应为潜在投标人，且两者的身份、名称等均应保持一致。对采购过程、结果提出质疑的，质疑人应为投标人，且两者的身份、名称等均应保持一致。</w:t>
      </w:r>
    </w:p>
    <w:p w14:paraId="08AFE92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（2）质疑人应按照招标文件第二章规定方式提交质疑函。</w:t>
      </w:r>
    </w:p>
    <w:p w14:paraId="502B46A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（3）质疑函应包括下列主要内容：</w:t>
      </w:r>
    </w:p>
    <w:p w14:paraId="5574F84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①质疑人的基本信息，至少包括：全称、地址、邮政编码等；</w:t>
      </w:r>
    </w:p>
    <w:p w14:paraId="25EE6E8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②所质疑项目的基本信息，至少包括：项目编号、项目名称等；</w:t>
      </w:r>
    </w:p>
    <w:p w14:paraId="1D512EC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③所质疑的具体事项（以下简称：“质疑事项”）；</w:t>
      </w:r>
    </w:p>
    <w:p w14:paraId="47145C3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④针对质疑事项提出的明确请求，前述明确请求指质疑人提出质疑的目的以及希望 福建省新卫招标代理有限公司 对其质疑作出的处理结果，如：暂停招标投标活动、修改招标文件、停止或纠正违法违规行为、中标结果无效、废标、重新招标等；</w:t>
      </w:r>
    </w:p>
    <w:p w14:paraId="5E72337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⑤针对质疑事项导致质疑人自身权益受到损害的必要证明材料，至少包括：</w:t>
      </w:r>
    </w:p>
    <w:p w14:paraId="677D3A1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a.质疑人代表的身份证明材料：</w:t>
      </w:r>
    </w:p>
    <w:p w14:paraId="68E43C0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F36922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a2若本项目接受自然人投标且质疑人为自然人的，提供本人的身份证复印件。</w:t>
      </w:r>
    </w:p>
    <w:p w14:paraId="42E1BE5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b.其他证明材料（即事实依据和必要的法律依据）包括但不限于下列材料：</w:t>
      </w:r>
    </w:p>
    <w:p w14:paraId="66EA899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b1所质疑的具体事项是与自己有利害关系的证明材料；</w:t>
      </w:r>
    </w:p>
    <w:p w14:paraId="6C9DF38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b2质疑函所述事实存在的证明材料，如：采购文件、采购过程或中标结果违法违规或不符合采购文件要求等证明材料；</w:t>
      </w:r>
    </w:p>
    <w:p w14:paraId="5EEEA75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b3依法应终止采购程序的证明材料；</w:t>
      </w:r>
    </w:p>
    <w:p w14:paraId="6A6FDED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b4应重新采购的证明材料；</w:t>
      </w:r>
    </w:p>
    <w:p w14:paraId="12AE597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b5采购文件、采购过程或中标、成交结果损害自己合法权益的证明材料等；</w:t>
      </w:r>
    </w:p>
    <w:p w14:paraId="216504A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140CF3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⑥质疑人代表及其联系方法的信息，至少包括：姓名、手机、电子信箱、邮寄地址等。</w:t>
      </w:r>
    </w:p>
    <w:p w14:paraId="3ABF19F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⑦提出质疑的日期。</w:t>
      </w:r>
    </w:p>
    <w:p w14:paraId="48065C7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※质疑人为法人或其他组织的，质疑函应由单位负责人或委托代理人签字或盖章，并加盖投标人的单位公章。质疑人为自然人的，质疑函应由本人签字。</w:t>
      </w:r>
    </w:p>
    <w:p w14:paraId="543A10C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15.2对不符合本章第15.1条规定的质疑，将按照下列规定进行处理：</w:t>
      </w:r>
    </w:p>
    <w:p w14:paraId="5B661B0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（1）不符合其中第（1）、（2）条规定的，书面告知质疑人不予受理及其理由。</w:t>
      </w:r>
    </w:p>
    <w:p w14:paraId="500B5FF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（2）不符合其中第（3）条规定的，书面告知质疑人修改、补充后在规定时限内重新提交质疑函。</w:t>
      </w:r>
    </w:p>
    <w:p w14:paraId="780F118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15.3对符合本章第15.1条规定的质疑，将按照政府采购法及实施条例、政府采购质疑和投诉办法的有关规定进行答复。</w:t>
      </w:r>
    </w:p>
    <w:p w14:paraId="0CFCC51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15.4招标文件的质疑：详见招标文件第二章。</w:t>
      </w:r>
    </w:p>
    <w:p w14:paraId="548B30C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16、投诉</w:t>
      </w:r>
    </w:p>
    <w:p w14:paraId="528B03B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43B540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16.2投诉应有明确的请求和必要的证明材料，投诉的事项不得超出已质疑事项的范围。</w:t>
      </w:r>
    </w:p>
    <w:p w14:paraId="1577E805">
      <w:pPr>
        <w:pStyle w:val="6"/>
        <w:widowControl/>
        <w:shd w:val="clear" w:color="auto" w:fill="FFFFFF"/>
        <w:spacing w:beforeAutospacing="0" w:afterAutospacing="0" w:line="480" w:lineRule="atLeast"/>
        <w:jc w:val="both"/>
        <w:rPr>
          <w:rFonts w:hint="default" w:cs="宋体"/>
          <w:color w:val="333333"/>
        </w:rPr>
      </w:pPr>
      <w:r>
        <w:rPr>
          <w:rFonts w:cs="宋体"/>
          <w:color w:val="333333"/>
          <w:shd w:val="clear" w:color="auto" w:fill="FFFFFF"/>
        </w:rPr>
        <w:t>八、政府采购政策</w:t>
      </w:r>
    </w:p>
    <w:p w14:paraId="39BA15B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17、政府采购政策由财政部根据国家的经济和社会发展政策并会同国家有关部委制定，包括但不限于下列具体政策要求：</w:t>
      </w:r>
    </w:p>
    <w:p w14:paraId="2B685F1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17.1进口产品指通过中国海关报关验放进入中国境内且产自关境外的产品，其中：</w:t>
      </w:r>
    </w:p>
    <w:p w14:paraId="154E9AD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2FE349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（2）凡在海关特殊监管区域内企业生产或加工（包括从境外进口料件）销往境内其他地区的产品，不作为政府采购项下进口产品。</w:t>
      </w:r>
    </w:p>
    <w:p w14:paraId="1A5EB92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（3）对从境外进入海关特殊监管区域，再经办理报关手续后从海关特殊监管区进入境内其他地区的产品，认定为进口产品。</w:t>
      </w:r>
    </w:p>
    <w:p w14:paraId="16F931F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（4）招标文件列明不允许或未列明允许进口产品参加投标的，均视为拒绝进口产品参加投标。</w:t>
      </w:r>
    </w:p>
    <w:p w14:paraId="0641D20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2EFD12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893C26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（1）中小企业指符合下列条件的中型、小型、微型企业：</w:t>
      </w:r>
    </w:p>
    <w:p w14:paraId="31F2D3B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39633F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②符合中小企业划分标准的个体工商户，在政府采购活动中视同中小企业。</w:t>
      </w:r>
    </w:p>
    <w:p w14:paraId="23AC1E7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（2）在政府采购活动中，供应商提供的货物、工程或者服务符合下列情形的，享受本办法规定的中小企业扶持政策：</w:t>
      </w:r>
    </w:p>
    <w:p w14:paraId="0356AB0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①在货物采购项目中，货物由中小企业制造，即货物由中小企业生产且使用该中小企业商号或者注册商标；</w:t>
      </w:r>
    </w:p>
    <w:p w14:paraId="2F4DB34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②在工程采购项目中，工程由中小企业承建，即工程施工单位为中小企业；</w:t>
      </w:r>
    </w:p>
    <w:p w14:paraId="60B8604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③在服务采购项目中，服务由中小企业承接，即提供服务的人员为中小企业依照《中华人民共和国劳动合同法》订立劳动合同的从业人员。</w:t>
      </w:r>
    </w:p>
    <w:p w14:paraId="1400A84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在货物采购项目中，供应商提供的货物既有中小企业制造货物，也有大型企业制造货物的，不享受本办法规定的中小企业扶持政策。</w:t>
      </w:r>
    </w:p>
    <w:p w14:paraId="739CCBA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以联合体形式参加政府采购活动，联合体各方均为中小企业的，联合体视同中小企业。其中，联合体各方均为小微企业的，联合体视同小微企业。</w:t>
      </w:r>
    </w:p>
    <w:p w14:paraId="568D8D9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（3）投标人应当按照招标文件明确的采购标的对应行业的划分标准出具中小企业声明函。</w:t>
      </w:r>
    </w:p>
    <w:p w14:paraId="5A67F38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BA9234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6EF931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①监狱企业参加采购活动时，应提供由省级以上监狱管理局、戒毒管理局（含新疆生产建设兵团）出具的属于监狱企业的证明文件。</w:t>
      </w:r>
    </w:p>
    <w:p w14:paraId="07117A1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②监狱企业视同小型、微型企业。</w:t>
      </w:r>
    </w:p>
    <w:p w14:paraId="195089E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（5）残疾人福利性单位指同时符合下列条件的单位：</w:t>
      </w:r>
    </w:p>
    <w:p w14:paraId="11726DC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①安置的残疾人占本单位在职职工人数的比例不低于25%（含25%），并且安置的残疾人人数不少于10人（含10人）；</w:t>
      </w:r>
    </w:p>
    <w:p w14:paraId="26074A2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②依法与安置的每位残疾人签订了一年以上（含一年）的劳动合同或服务协议；</w:t>
      </w:r>
    </w:p>
    <w:p w14:paraId="4EBF536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③为安置的每位残疾人按月足额缴纳了基本养老保险、基本医疗保险、失业保险、工伤保险和生育保险等社会保险费；</w:t>
      </w:r>
    </w:p>
    <w:p w14:paraId="0E66321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④通过银行等金融机构向安置的每位残疾人，按月支付了不低于单位所在区县适用的经省级人民政府批准的月最低工资标准的工资；</w:t>
      </w:r>
    </w:p>
    <w:p w14:paraId="0866D0D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⑤提供本单位制造的货物、承担的工程或服务，或提供其他残疾人福利性单位制造的货物（不包括使用非残疾人福利性单位注册商标的货物）。</w:t>
      </w:r>
    </w:p>
    <w:p w14:paraId="7410BA6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6FAB4B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FEB409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17.4信用记录指由财政部确定的有关网站提供的相关主体信用信息。信用记录的查询及使用应符合财政部文件（财库[2016]125号）规定。</w:t>
      </w:r>
    </w:p>
    <w:p w14:paraId="7F3BC4E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17.5为落实政府采购政策需满足的要求：详见招标文件第一章。</w:t>
      </w:r>
    </w:p>
    <w:p w14:paraId="6DD9FDC1">
      <w:pPr>
        <w:pStyle w:val="6"/>
        <w:widowControl/>
        <w:shd w:val="clear" w:color="auto" w:fill="FFFFFF"/>
        <w:spacing w:beforeAutospacing="0" w:afterAutospacing="0" w:line="480" w:lineRule="atLeast"/>
        <w:jc w:val="both"/>
        <w:rPr>
          <w:rFonts w:hint="default" w:cs="宋体"/>
          <w:color w:val="333333"/>
        </w:rPr>
      </w:pPr>
      <w:r>
        <w:rPr>
          <w:rFonts w:cs="宋体"/>
          <w:color w:val="333333"/>
          <w:shd w:val="clear" w:color="auto" w:fill="FFFFFF"/>
        </w:rPr>
        <w:t>九、本项目的有关信息</w:t>
      </w:r>
    </w:p>
    <w:p w14:paraId="060E04E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18、本项目的有关信息，包括但不限于：招标公告、更正公告（若有）、招标文件、招标文件的澄清或修改（若有）、中标公告、终止公告（若有）、废标公告（若有）等都将在招标文件载明的指定媒体发布。</w:t>
      </w:r>
    </w:p>
    <w:p w14:paraId="54CA206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18.1指定媒体：详见招标文件第二章。</w:t>
      </w:r>
    </w:p>
    <w:p w14:paraId="389C5AA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18.2本项目的潜在投标人或投标人应随时关注指定媒体，否则产生不利后果由其自行承担。</w:t>
      </w:r>
    </w:p>
    <w:p w14:paraId="718E5358">
      <w:pPr>
        <w:pStyle w:val="6"/>
        <w:widowControl/>
        <w:shd w:val="clear" w:color="auto" w:fill="FFFFFF"/>
        <w:spacing w:beforeAutospacing="0" w:afterAutospacing="0" w:line="480" w:lineRule="atLeast"/>
        <w:jc w:val="both"/>
        <w:rPr>
          <w:rFonts w:hint="default" w:cs="宋体"/>
          <w:color w:val="333333"/>
        </w:rPr>
      </w:pPr>
      <w:r>
        <w:rPr>
          <w:rFonts w:cs="宋体"/>
          <w:color w:val="333333"/>
          <w:shd w:val="clear" w:color="auto" w:fill="FFFFFF"/>
        </w:rPr>
        <w:t>十、其他事项</w:t>
      </w:r>
    </w:p>
    <w:p w14:paraId="518389F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19、其他事项：</w:t>
      </w:r>
    </w:p>
    <w:p w14:paraId="2621861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D6859F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19.2其他：详见招标文件第二章。</w:t>
      </w:r>
    </w:p>
    <w:p w14:paraId="5F2A2E7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56C644C9">
      <w:pPr>
        <w:rPr>
          <w:rFonts w:ascii="宋体" w:hAnsi="宋体" w:eastAsia="宋体" w:cs="宋体"/>
          <w:color w:val="333333"/>
          <w:sz w:val="39"/>
          <w:szCs w:val="39"/>
          <w:shd w:val="clear" w:color="auto" w:fill="FFFFFF"/>
        </w:rPr>
      </w:pPr>
      <w:r>
        <w:rPr>
          <w:rFonts w:hint="eastAsia" w:ascii="宋体" w:hAnsi="宋体" w:eastAsia="宋体" w:cs="宋体"/>
          <w:color w:val="333333"/>
          <w:sz w:val="39"/>
          <w:szCs w:val="39"/>
          <w:shd w:val="clear" w:color="auto" w:fill="FFFFFF"/>
        </w:rPr>
        <w:br w:type="page"/>
      </w:r>
    </w:p>
    <w:p w14:paraId="4707E1B9">
      <w:pPr>
        <w:pStyle w:val="8"/>
        <w:widowControl/>
        <w:shd w:val="clear" w:color="auto" w:fill="FFFFFF"/>
        <w:spacing w:beforeAutospacing="0" w:afterAutospacing="0" w:line="480" w:lineRule="atLeast"/>
        <w:jc w:val="center"/>
        <w:rPr>
          <w:rFonts w:hint="default" w:cs="宋体"/>
          <w:color w:val="333333"/>
          <w:sz w:val="39"/>
          <w:szCs w:val="39"/>
        </w:rPr>
      </w:pPr>
      <w:r>
        <w:rPr>
          <w:rFonts w:cs="宋体"/>
          <w:color w:val="333333"/>
          <w:sz w:val="39"/>
          <w:szCs w:val="39"/>
          <w:shd w:val="clear" w:color="auto" w:fill="FFFFFF"/>
        </w:rPr>
        <w:t>第四章 资格审查与评标</w:t>
      </w:r>
    </w:p>
    <w:p w14:paraId="597BF2E5">
      <w:pPr>
        <w:pStyle w:val="6"/>
        <w:widowControl/>
        <w:shd w:val="clear" w:color="auto" w:fill="FFFFFF"/>
        <w:spacing w:beforeAutospacing="0" w:afterAutospacing="0" w:line="480" w:lineRule="atLeast"/>
        <w:jc w:val="both"/>
        <w:rPr>
          <w:rFonts w:hint="default" w:cs="宋体"/>
          <w:color w:val="333333"/>
        </w:rPr>
      </w:pPr>
      <w:r>
        <w:rPr>
          <w:rFonts w:cs="宋体"/>
          <w:color w:val="333333"/>
          <w:shd w:val="clear" w:color="auto" w:fill="FFFFFF"/>
        </w:rPr>
        <w:t>一、资格审查</w:t>
      </w:r>
    </w:p>
    <w:p w14:paraId="61322CD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1、开标结束后，由 福建省新卫招标代理有限公司 负责资格审查小组的组建及资格审查工作的组织。</w:t>
      </w:r>
    </w:p>
    <w:p w14:paraId="4A50BDA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1.1资格审查小组</w:t>
      </w:r>
    </w:p>
    <w:p w14:paraId="7FF849ED">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资格审查小组由3人组成，并负责具体审查事务， 其中由采购人派出的采购人代表至少1人， 由福建省新卫招标代理有限公司派出的工作人员至少1人， 其余1人可为采购人代表或福建省新卫招标代理有限公司的工作人员。</w:t>
      </w:r>
    </w:p>
    <w:p w14:paraId="5827C81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1.2资格审查的依据是招标文件和电子投标文件。</w:t>
      </w:r>
    </w:p>
    <w:p w14:paraId="1520ADA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1.3资格审查的范围及内容：电子投标文件（资格及资信证明部分），具体如下：</w:t>
      </w:r>
    </w:p>
    <w:p w14:paraId="372B0FA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（1）“投标函”；</w:t>
      </w:r>
    </w:p>
    <w:p w14:paraId="21B111B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（2）“投标人的资格及资信证明文件”</w:t>
      </w:r>
    </w:p>
    <w:p w14:paraId="7792C0D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①一般资格证明文件：</w:t>
      </w:r>
    </w:p>
    <w:p w14:paraId="7A0E9D89">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采购包1：</w:t>
      </w:r>
    </w:p>
    <w:tbl>
      <w:tblPr>
        <w:tblStyle w:val="17"/>
        <w:tblW w:w="854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54"/>
        <w:gridCol w:w="1752"/>
        <w:gridCol w:w="6140"/>
      </w:tblGrid>
      <w:tr w14:paraId="66131B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558B7BC">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序号</w:t>
            </w:r>
          </w:p>
        </w:tc>
        <w:tc>
          <w:tcPr>
            <w:tcW w:w="1752"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2D2CCB8">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资格审查要求概况</w:t>
            </w:r>
          </w:p>
        </w:tc>
        <w:tc>
          <w:tcPr>
            <w:tcW w:w="614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826B774">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评审点具体描述</w:t>
            </w:r>
          </w:p>
        </w:tc>
      </w:tr>
      <w:tr w14:paraId="251EA6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AD5F289">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1</w:t>
            </w:r>
          </w:p>
        </w:tc>
        <w:tc>
          <w:tcPr>
            <w:tcW w:w="1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86FD146">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单位授权书</w:t>
            </w:r>
          </w:p>
        </w:tc>
        <w:tc>
          <w:tcPr>
            <w:tcW w:w="61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9E2144">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54562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456E2AD">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2</w:t>
            </w:r>
          </w:p>
        </w:tc>
        <w:tc>
          <w:tcPr>
            <w:tcW w:w="1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225DE3">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营业执照等证明文件</w:t>
            </w:r>
          </w:p>
        </w:tc>
        <w:tc>
          <w:tcPr>
            <w:tcW w:w="61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18E661">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28448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82936C">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3</w:t>
            </w:r>
          </w:p>
        </w:tc>
        <w:tc>
          <w:tcPr>
            <w:tcW w:w="1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331DBCF">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提供财务状况报告(财务报告、或资信证明）</w:t>
            </w:r>
          </w:p>
        </w:tc>
        <w:tc>
          <w:tcPr>
            <w:tcW w:w="61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566F24">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33C54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F9DDB0">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4</w:t>
            </w:r>
          </w:p>
        </w:tc>
        <w:tc>
          <w:tcPr>
            <w:tcW w:w="1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AE36F9">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依法缴纳税收证明材料</w:t>
            </w:r>
          </w:p>
        </w:tc>
        <w:tc>
          <w:tcPr>
            <w:tcW w:w="61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87DBA2">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C2CA3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FF278C">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5</w:t>
            </w:r>
          </w:p>
        </w:tc>
        <w:tc>
          <w:tcPr>
            <w:tcW w:w="1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745749">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依法缴纳社会保障资金证明材料</w:t>
            </w:r>
          </w:p>
        </w:tc>
        <w:tc>
          <w:tcPr>
            <w:tcW w:w="61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881AEA">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7CBBE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26D4F3">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6</w:t>
            </w:r>
          </w:p>
        </w:tc>
        <w:tc>
          <w:tcPr>
            <w:tcW w:w="1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B24499">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具备履行合同所必需设备和专业技术能力的声明函(若有)</w:t>
            </w:r>
          </w:p>
        </w:tc>
        <w:tc>
          <w:tcPr>
            <w:tcW w:w="61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BDA24D">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BDA1F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632B264">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7</w:t>
            </w:r>
          </w:p>
        </w:tc>
        <w:tc>
          <w:tcPr>
            <w:tcW w:w="1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F83BCD">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参加采购活动前三年内在经营活动中没有重大违法记录的声明</w:t>
            </w:r>
          </w:p>
        </w:tc>
        <w:tc>
          <w:tcPr>
            <w:tcW w:w="61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17A273">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DC296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64ACF0">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8</w:t>
            </w:r>
          </w:p>
        </w:tc>
        <w:tc>
          <w:tcPr>
            <w:tcW w:w="1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8B8713">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信用记录查询结果</w:t>
            </w:r>
          </w:p>
        </w:tc>
        <w:tc>
          <w:tcPr>
            <w:tcW w:w="61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CF885F">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9B93A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CAA34F">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9</w:t>
            </w:r>
          </w:p>
        </w:tc>
        <w:tc>
          <w:tcPr>
            <w:tcW w:w="1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1188F28">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中小企业声明函（以资格条件落实中小企业扶持政策时适用 ）</w:t>
            </w:r>
          </w:p>
        </w:tc>
        <w:tc>
          <w:tcPr>
            <w:tcW w:w="61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A7E2E0">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72103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2B2561">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10</w:t>
            </w:r>
          </w:p>
        </w:tc>
        <w:tc>
          <w:tcPr>
            <w:tcW w:w="1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D44F59">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联合体协议（若有）</w:t>
            </w:r>
          </w:p>
        </w:tc>
        <w:tc>
          <w:tcPr>
            <w:tcW w:w="61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D2E4612">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①招标文件接受联合体投标且投标人为联合体的，投标人应提供本协议；否则无须提供。 ②本协议由委托代理人签字或盖章的，应按照招标文件第七章载明的格式提供“单位授权书”。</w:t>
            </w:r>
          </w:p>
        </w:tc>
      </w:tr>
    </w:tbl>
    <w:p w14:paraId="4EC9D4F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※备注说明</w:t>
      </w:r>
    </w:p>
    <w:p w14:paraId="546BBEE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①投标人应根据自身实际情况提供上述资格要求的证明材料，格式可参考招标文件第七章提供。</w:t>
      </w:r>
    </w:p>
    <w:p w14:paraId="7CE07EF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②投标人提供的相应证明材料复印件均应符合：内容完整、清晰、整洁，并由投标人加盖其单位公章。</w:t>
      </w:r>
    </w:p>
    <w:p w14:paraId="57F195C3">
      <w:pPr>
        <w:pStyle w:val="4"/>
        <w:widowControl/>
        <w:shd w:val="clear" w:color="auto" w:fill="FFFFFF"/>
        <w:spacing w:beforeAutospacing="0" w:afterAutospacing="0" w:line="480" w:lineRule="atLeast"/>
        <w:ind w:firstLine="420"/>
        <w:rPr>
          <w:rFonts w:ascii="宋体" w:hAnsi="宋体" w:eastAsia="宋体" w:cs="宋体"/>
          <w:color w:val="333333"/>
        </w:rPr>
      </w:pPr>
      <w:r>
        <w:rPr>
          <w:rFonts w:hint="eastAsia" w:ascii="宋体" w:hAnsi="宋体" w:eastAsia="宋体" w:cs="宋体"/>
          <w:color w:val="333333"/>
          <w:shd w:val="clear" w:color="auto" w:fill="FFFFFF"/>
        </w:rPr>
        <w:t>③根据招标文件第四章第一点资格审查的1.3“④其他资格证明文件”要求，允许供应商采用资格承诺制的并提供符合要求的资格承诺函，视为满足招标文件的资格要求。</w:t>
      </w:r>
    </w:p>
    <w:p w14:paraId="59435CD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④.其他资格证明文件：</w:t>
      </w:r>
    </w:p>
    <w:p w14:paraId="62E206D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采购包1：</w:t>
      </w:r>
    </w:p>
    <w:tbl>
      <w:tblPr>
        <w:tblStyle w:val="17"/>
        <w:tblW w:w="8546" w:type="dxa"/>
        <w:tblInd w:w="0" w:type="dxa"/>
        <w:tblLayout w:type="fixed"/>
        <w:tblCellMar>
          <w:top w:w="0" w:type="dxa"/>
          <w:left w:w="0" w:type="dxa"/>
          <w:bottom w:w="0" w:type="dxa"/>
          <w:right w:w="0" w:type="dxa"/>
        </w:tblCellMar>
      </w:tblPr>
      <w:tblGrid>
        <w:gridCol w:w="2385"/>
        <w:gridCol w:w="6161"/>
      </w:tblGrid>
      <w:tr w14:paraId="4F0CD3EE">
        <w:tblPrEx>
          <w:tblCellMar>
            <w:top w:w="0" w:type="dxa"/>
            <w:left w:w="0" w:type="dxa"/>
            <w:bottom w:w="0" w:type="dxa"/>
            <w:right w:w="0" w:type="dxa"/>
          </w:tblCellMar>
        </w:tblPrEx>
        <w:tc>
          <w:tcPr>
            <w:tcW w:w="238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C9ACBF0">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资格审查要求概况</w:t>
            </w:r>
          </w:p>
        </w:tc>
        <w:tc>
          <w:tcPr>
            <w:tcW w:w="616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B573CCF">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评审点具体描述</w:t>
            </w:r>
          </w:p>
        </w:tc>
      </w:tr>
      <w:tr w14:paraId="309EE135">
        <w:tblPrEx>
          <w:tblCellMar>
            <w:top w:w="0" w:type="dxa"/>
            <w:left w:w="0" w:type="dxa"/>
            <w:bottom w:w="0" w:type="dxa"/>
            <w:right w:w="0" w:type="dxa"/>
          </w:tblCellMar>
        </w:tblPrEx>
        <w:tc>
          <w:tcPr>
            <w:tcW w:w="23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484F31">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资格承诺函</w:t>
            </w:r>
          </w:p>
        </w:tc>
        <w:tc>
          <w:tcPr>
            <w:tcW w:w="61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175075E">
            <w:pPr>
              <w:widowControl/>
              <w:wordWrap w:val="0"/>
              <w:spacing w:line="480" w:lineRule="atLeast"/>
              <w:jc w:val="center"/>
              <w:rPr>
                <w:rFonts w:ascii="宋体" w:hAnsi="宋体" w:eastAsia="宋体" w:cs="宋体"/>
                <w:sz w:val="24"/>
              </w:rPr>
            </w:pPr>
            <w:r>
              <w:rPr>
                <w:rFonts w:hint="eastAsia" w:ascii="宋体" w:hAnsi="宋体" w:eastAsia="宋体" w:cs="宋体"/>
                <w:color w:val="5B5852"/>
                <w:sz w:val="24"/>
                <w:shd w:val="clear" w:color="auto" w:fill="FFFFFF"/>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CF04FA6">
        <w:tblPrEx>
          <w:tblCellMar>
            <w:top w:w="0" w:type="dxa"/>
            <w:left w:w="0" w:type="dxa"/>
            <w:bottom w:w="0" w:type="dxa"/>
            <w:right w:w="0" w:type="dxa"/>
          </w:tblCellMar>
        </w:tblPrEx>
        <w:tc>
          <w:tcPr>
            <w:tcW w:w="23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AC7DFCD">
            <w:pPr>
              <w:widowControl/>
              <w:wordWrap w:val="0"/>
              <w:spacing w:line="480" w:lineRule="atLeast"/>
              <w:jc w:val="center"/>
              <w:rPr>
                <w:rFonts w:hint="eastAsia" w:ascii="宋体" w:hAnsi="宋体" w:eastAsia="宋体" w:cs="宋体"/>
                <w:color w:val="auto"/>
                <w:kern w:val="0"/>
                <w:sz w:val="24"/>
              </w:rPr>
            </w:pPr>
            <w:r>
              <w:rPr>
                <w:rFonts w:hint="eastAsia" w:ascii="宋体" w:hAnsi="宋体" w:eastAsia="宋体" w:cs="宋体"/>
                <w:i w:val="0"/>
                <w:iCs w:val="0"/>
                <w:caps w:val="0"/>
                <w:color w:val="auto"/>
                <w:spacing w:val="0"/>
                <w:sz w:val="24"/>
                <w:szCs w:val="24"/>
                <w:shd w:val="clear" w:fill="FFFFFF"/>
              </w:rPr>
              <w:t>本采购包属于专门面向中小企业采购。</w:t>
            </w:r>
          </w:p>
        </w:tc>
        <w:tc>
          <w:tcPr>
            <w:tcW w:w="61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AF2C65">
            <w:pPr>
              <w:widowControl/>
              <w:wordWrap w:val="0"/>
              <w:spacing w:line="480" w:lineRule="atLeast"/>
              <w:rPr>
                <w:rFonts w:hint="eastAsia" w:ascii="宋体" w:hAnsi="宋体" w:eastAsia="宋体" w:cs="宋体"/>
                <w:color w:val="auto"/>
                <w:sz w:val="24"/>
                <w:shd w:val="clear" w:color="auto" w:fill="FFFFFF"/>
              </w:rPr>
            </w:pPr>
            <w:r>
              <w:rPr>
                <w:rFonts w:hint="eastAsia" w:ascii="宋体" w:hAnsi="宋体" w:eastAsia="宋体" w:cs="宋体"/>
                <w:i w:val="0"/>
                <w:iCs w:val="0"/>
                <w:caps w:val="0"/>
                <w:color w:val="auto"/>
                <w:spacing w:val="0"/>
                <w:sz w:val="24"/>
                <w:szCs w:val="24"/>
                <w:shd w:val="clear" w:fill="FFFFFF"/>
              </w:rPr>
              <w:t>根据（财库〔2020〕46号）规定，本项目专门面向中小企业采购。本项目属于“货物类”采购项目，采购标的为“</w:t>
            </w:r>
            <w:r>
              <w:rPr>
                <w:rFonts w:hint="eastAsia" w:ascii="宋体" w:hAnsi="宋体" w:eastAsia="宋体" w:cs="宋体"/>
                <w:color w:val="auto"/>
                <w:kern w:val="0"/>
                <w:sz w:val="24"/>
              </w:rPr>
              <w:t>宁德监狱监门一体化平台采购（货物）</w:t>
            </w:r>
            <w:r>
              <w:rPr>
                <w:rFonts w:hint="eastAsia" w:ascii="宋体" w:hAnsi="宋体" w:eastAsia="宋体" w:cs="宋体"/>
                <w:i w:val="0"/>
                <w:iCs w:val="0"/>
                <w:caps w:val="0"/>
                <w:color w:val="auto"/>
                <w:spacing w:val="0"/>
                <w:sz w:val="24"/>
                <w:szCs w:val="24"/>
                <w:shd w:val="clear" w:fill="FFFFFF"/>
              </w:rPr>
              <w:t>”，采购标的对应的中小企业划分标准所属行业为“工业”。投标人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中小企业采购的项目,产品制造商应为中小微企业、监狱企业、残疾人福利性单位)</w:t>
            </w:r>
          </w:p>
        </w:tc>
      </w:tr>
      <w:tr w14:paraId="4F597FCC">
        <w:tblPrEx>
          <w:tblCellMar>
            <w:top w:w="0" w:type="dxa"/>
            <w:left w:w="0" w:type="dxa"/>
            <w:bottom w:w="0" w:type="dxa"/>
            <w:right w:w="0" w:type="dxa"/>
          </w:tblCellMar>
        </w:tblPrEx>
        <w:tc>
          <w:tcPr>
            <w:tcW w:w="23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17CCD5">
            <w:pPr>
              <w:keepNext w:val="0"/>
              <w:keepLines w:val="0"/>
              <w:widowControl/>
              <w:suppressLineNumbers w:val="0"/>
              <w:wordWrap w:val="0"/>
              <w:spacing w:before="0" w:beforeAutospacing="0" w:after="0" w:afterAutospacing="0" w:line="480" w:lineRule="atLeast"/>
              <w:ind w:left="0" w:leftChars="0" w:right="0" w:rightChars="0" w:firstLine="0" w:firstLineChars="0"/>
              <w:jc w:val="cente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color="auto" w:fill="FFFFFF"/>
              </w:rPr>
              <w:t>关于【一般资格证明文件中“（3）提供财务状况报告(财务报告、或资信证明）”】的补充说明</w:t>
            </w:r>
          </w:p>
        </w:tc>
        <w:tc>
          <w:tcPr>
            <w:tcW w:w="61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938355">
            <w:pPr>
              <w:keepNext w:val="0"/>
              <w:keepLines w:val="0"/>
              <w:widowControl/>
              <w:suppressLineNumbers w:val="0"/>
              <w:wordWrap w:val="0"/>
              <w:spacing w:before="0" w:beforeAutospacing="0" w:after="0" w:afterAutospacing="0" w:line="480" w:lineRule="atLeast"/>
              <w:ind w:left="0" w:leftChars="0" w:right="0" w:rightChars="0" w:firstLine="0" w:firstLineChars="0"/>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color="auto" w:fill="FFFFFF"/>
              </w:rPr>
              <w:t>针对“a.成立年限满1年及以上的投标人，提供经审计的上一年度的年度财务报告。”的规定，是指202</w:t>
            </w:r>
            <w:r>
              <w:rPr>
                <w:rFonts w:hint="eastAsia" w:ascii="宋体" w:hAnsi="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或者202</w:t>
            </w:r>
            <w:r>
              <w:rPr>
                <w:rFonts w:hint="eastAsia" w:ascii="宋体" w:hAnsi="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年度经审计的财务报告，招标文件其他内容与本条款有冲突的，均以本条款规定为准。</w:t>
            </w:r>
          </w:p>
        </w:tc>
      </w:tr>
    </w:tbl>
    <w:p w14:paraId="0F808AE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（3）投标保证金。</w:t>
      </w:r>
    </w:p>
    <w:p w14:paraId="669E687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1.4有下列情形之一的，资格审查不合格：</w:t>
      </w:r>
    </w:p>
    <w:tbl>
      <w:tblPr>
        <w:tblStyle w:val="17"/>
        <w:tblW w:w="854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546"/>
      </w:tblGrid>
      <w:tr w14:paraId="4F01E0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54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BBAAD69">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明细</w:t>
            </w:r>
          </w:p>
        </w:tc>
      </w:tr>
      <w:tr w14:paraId="45E4BC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54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6400A8">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未按照招标文件规定提交投标函</w:t>
            </w:r>
          </w:p>
        </w:tc>
      </w:tr>
      <w:tr w14:paraId="4E88EE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54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37B20C">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未按照招标文件规定提交投标人的资格及资信文件</w:t>
            </w:r>
          </w:p>
        </w:tc>
      </w:tr>
      <w:tr w14:paraId="626E6D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54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B1A8DE">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未按照招标文件规定提交投标保证金</w:t>
            </w:r>
          </w:p>
        </w:tc>
      </w:tr>
    </w:tbl>
    <w:p w14:paraId="75519A6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采购包1：</w:t>
      </w:r>
    </w:p>
    <w:p w14:paraId="2C28E365">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资格审查不合格项：</w:t>
      </w:r>
    </w:p>
    <w:tbl>
      <w:tblPr>
        <w:tblStyle w:val="17"/>
        <w:tblW w:w="854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045"/>
        <w:gridCol w:w="7501"/>
      </w:tblGrid>
      <w:tr w14:paraId="6F1989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04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D0E2ED8">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情形</w:t>
            </w:r>
          </w:p>
        </w:tc>
        <w:tc>
          <w:tcPr>
            <w:tcW w:w="750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AA339E2">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明细</w:t>
            </w:r>
          </w:p>
        </w:tc>
      </w:tr>
      <w:tr w14:paraId="4D6930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04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A96871">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其他情形</w:t>
            </w:r>
          </w:p>
        </w:tc>
        <w:tc>
          <w:tcPr>
            <w:tcW w:w="750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3F24F28">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资格及资信证明部分中出现报价部分的全部或部分的投标报价信息（或组成资料）的；</w:t>
            </w:r>
          </w:p>
        </w:tc>
      </w:tr>
      <w:tr w14:paraId="4FD456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04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397E651">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其他情形</w:t>
            </w:r>
          </w:p>
        </w:tc>
        <w:tc>
          <w:tcPr>
            <w:tcW w:w="750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3EF672">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出现招标文件中载明“资格审查不合格”条款的规定。</w:t>
            </w:r>
          </w:p>
        </w:tc>
      </w:tr>
    </w:tbl>
    <w:p w14:paraId="27316D1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93743D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2、资格审查情况不得私自外泄，有关信息由 福建省新卫招标代理有限公司 统一对外发布。</w:t>
      </w:r>
    </w:p>
    <w:p w14:paraId="7D8AB31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3、资格审查合格的投标人不足三家的，不进行评标。同时，本次采购活动结束， 福建省新卫招标代理有限公司 将依法组织后续采购活动（包括但不限于：重新招标、采用其他方式采购等）。</w:t>
      </w:r>
    </w:p>
    <w:p w14:paraId="765F72F5">
      <w:pPr>
        <w:pStyle w:val="6"/>
        <w:widowControl/>
        <w:shd w:val="clear" w:color="auto" w:fill="FFFFFF"/>
        <w:spacing w:beforeAutospacing="0" w:afterAutospacing="0" w:line="480" w:lineRule="atLeast"/>
        <w:jc w:val="both"/>
        <w:rPr>
          <w:rFonts w:hint="default" w:cs="宋体"/>
          <w:color w:val="333333"/>
        </w:rPr>
      </w:pPr>
      <w:r>
        <w:rPr>
          <w:rFonts w:cs="宋体"/>
          <w:color w:val="333333"/>
          <w:shd w:val="clear" w:color="auto" w:fill="FFFFFF"/>
        </w:rPr>
        <w:t>二、评标</w:t>
      </w:r>
    </w:p>
    <w:p w14:paraId="590C1AE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4、资格审查结束后，由 福建省新卫招标代理有限公司 负责评标委员会的组建及评标工作的组织。</w:t>
      </w:r>
    </w:p>
    <w:p w14:paraId="0B17569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5、评标委员会</w:t>
      </w:r>
    </w:p>
    <w:p w14:paraId="0588AA79">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由采购人代表和评审专家两部分共5人组成， 其中由福建省政府采购评审专家库产生的评审专家4人， 由采购人派出的采购人代表1人。</w:t>
      </w:r>
    </w:p>
    <w:p w14:paraId="14DB0CA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5.2评标委员会负责具体评标事务，并按照下列原则依法独立履行有关职责：</w:t>
      </w:r>
    </w:p>
    <w:p w14:paraId="53A27DA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（1）评标应保护国家利益、社会公共利益和各方当事人合法权益，提高采购效益，保证项目质量。</w:t>
      </w:r>
    </w:p>
    <w:p w14:paraId="0702019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（2）评标应遵循公平、公正、科学、严谨和择优原则。</w:t>
      </w:r>
    </w:p>
    <w:p w14:paraId="02CCC72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（3）评标的依据是招标文件和电子投标文件。</w:t>
      </w:r>
    </w:p>
    <w:p w14:paraId="3D8376C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（4）应按照招标文件规定推荐中标候选人或确定中标人。</w:t>
      </w:r>
    </w:p>
    <w:p w14:paraId="3AFDEC8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（5）评标应遵守下列评标纪律：</w:t>
      </w:r>
    </w:p>
    <w:p w14:paraId="15350EA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①评标情况不得私自外泄，有关信息由 福建省新卫招标代理有限公司 统一对外发布。</w:t>
      </w:r>
    </w:p>
    <w:p w14:paraId="693CF85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②对 福建省新卫招标代理有限公司 或投标人提供的要求保密的资料，不得摘记翻印和外传。</w:t>
      </w:r>
    </w:p>
    <w:p w14:paraId="5239E31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③不得收受投标人或有关人员的任何礼物，不得串联鼓动其他人袒护某投标人。若与投标人存在利害关系，则应主动声明并回避。</w:t>
      </w:r>
    </w:p>
    <w:p w14:paraId="464AA04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④全体评委应按照招标文件规定进行评标，一切认定事项应查有实据且不得弄虚作假。</w:t>
      </w:r>
    </w:p>
    <w:p w14:paraId="04EEC12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⑤评标中应充分发扬民主，推荐中标候选人或确定中标人后要服从评标报告。</w:t>
      </w:r>
    </w:p>
    <w:p w14:paraId="7951820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※对违反评标纪律的评委，将取消其评委资格，对评标工作造成严重损失者将予以通报批评乃至追究法律责任。</w:t>
      </w:r>
    </w:p>
    <w:p w14:paraId="5295B25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6、评标程序</w:t>
      </w:r>
    </w:p>
    <w:p w14:paraId="1C6D0B5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6.1评标前的准备工作</w:t>
      </w:r>
    </w:p>
    <w:p w14:paraId="58D54C5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（1）全体评委应认真审阅招标文件，了解评委应履行或遵守的职责、义务和评标纪律。</w:t>
      </w:r>
    </w:p>
    <w:p w14:paraId="0604675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（2）参加评标委员会的采购人代表可对本项目的背景和采购需求进行介绍，介绍材料应以书面形式提交（随采购文件一并存档），介绍内容不得含有歧视性、倾向性意见，不得超出招标文件所述范围。</w:t>
      </w:r>
    </w:p>
    <w:p w14:paraId="2643B92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6.2符合性审查</w:t>
      </w:r>
    </w:p>
    <w:p w14:paraId="4A6FBEE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（1）评标委员会依据招标文件的实质性要求，对通过资格审查的电子投标文件进行符合性审查，以确定其是否满足招标文件的实质性要求。</w:t>
      </w:r>
    </w:p>
    <w:p w14:paraId="46604B1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（2）满足招标文件的实质性要求指电子投标文件对招标文件实质性要求的响应不存在重大偏差或保留。</w:t>
      </w:r>
    </w:p>
    <w:p w14:paraId="3D347FA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F31890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70B718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（5）评标委员会对所有投标人都执行相同的程序和标准。</w:t>
      </w:r>
    </w:p>
    <w:p w14:paraId="68E6661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（6）有下列情形之一的，符合性审查不合格：</w:t>
      </w:r>
    </w:p>
    <w:p w14:paraId="6EA8305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①项目一般情形：</w:t>
      </w:r>
    </w:p>
    <w:p w14:paraId="15DB616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采购包1：</w:t>
      </w:r>
    </w:p>
    <w:tbl>
      <w:tblPr>
        <w:tblStyle w:val="17"/>
        <w:tblW w:w="854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34"/>
        <w:gridCol w:w="2207"/>
        <w:gridCol w:w="5605"/>
      </w:tblGrid>
      <w:tr w14:paraId="1474B5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3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8A1DC81">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序号</w:t>
            </w:r>
          </w:p>
        </w:tc>
        <w:tc>
          <w:tcPr>
            <w:tcW w:w="220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F33D70E">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符合审查要求概况</w:t>
            </w:r>
          </w:p>
        </w:tc>
        <w:tc>
          <w:tcPr>
            <w:tcW w:w="560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2476B89">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评审点具体描述</w:t>
            </w:r>
          </w:p>
        </w:tc>
      </w:tr>
      <w:tr w14:paraId="4F88C0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3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D60ACC">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1</w:t>
            </w:r>
          </w:p>
        </w:tc>
        <w:tc>
          <w:tcPr>
            <w:tcW w:w="220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6CFA9D">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情形1</w:t>
            </w:r>
          </w:p>
        </w:tc>
        <w:tc>
          <w:tcPr>
            <w:tcW w:w="5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AB99E3">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违反招标文件中载明“投标无效”条款的规定；</w:t>
            </w:r>
          </w:p>
        </w:tc>
      </w:tr>
      <w:tr w14:paraId="498F68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3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8061240">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2</w:t>
            </w:r>
          </w:p>
        </w:tc>
        <w:tc>
          <w:tcPr>
            <w:tcW w:w="220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754138">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情形2</w:t>
            </w:r>
          </w:p>
        </w:tc>
        <w:tc>
          <w:tcPr>
            <w:tcW w:w="5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B2C164">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属于招标文件第三章第10.12条规定的投标无效情形；</w:t>
            </w:r>
          </w:p>
        </w:tc>
      </w:tr>
      <w:tr w14:paraId="0D2807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3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A8E8261">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3</w:t>
            </w:r>
          </w:p>
        </w:tc>
        <w:tc>
          <w:tcPr>
            <w:tcW w:w="220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B8C057">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情形3</w:t>
            </w:r>
          </w:p>
        </w:tc>
        <w:tc>
          <w:tcPr>
            <w:tcW w:w="5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7B67E1">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投标文件对招标文件实质性要求的响应存在重大偏离或保留。</w:t>
            </w:r>
          </w:p>
        </w:tc>
      </w:tr>
    </w:tbl>
    <w:p w14:paraId="07899A2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②本项目规定的其他情形：</w:t>
      </w:r>
    </w:p>
    <w:p w14:paraId="42C09685">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采购包1：</w:t>
      </w:r>
    </w:p>
    <w:p w14:paraId="3371E2B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技术符合性</w:t>
      </w:r>
    </w:p>
    <w:tbl>
      <w:tblPr>
        <w:tblStyle w:val="17"/>
        <w:tblW w:w="854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709"/>
        <w:gridCol w:w="6837"/>
      </w:tblGrid>
      <w:tr w14:paraId="0CCB02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0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3ABDC9B">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情形</w:t>
            </w:r>
          </w:p>
        </w:tc>
        <w:tc>
          <w:tcPr>
            <w:tcW w:w="683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F464906">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明细</w:t>
            </w:r>
          </w:p>
        </w:tc>
      </w:tr>
      <w:tr w14:paraId="14F747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0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780E7F">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其他情形</w:t>
            </w:r>
          </w:p>
        </w:tc>
        <w:tc>
          <w:tcPr>
            <w:tcW w:w="68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C76BB36">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(1)未按照招标文件规定要求进行编制、签署、盖章的； (2)投标有效期不满足招标文件要求的； (3)投标内容与招标内容及要求有重大偏离或保留的； (4)投标文件中提供虚假或失实资料的； (5)明显不符合技术规格、技术标准的要求； (6)投标人附有采购人不能接受的条件； (7)一个投标人只能提交一个投标文件； (8)投标文件组成不符合招标文件要求的； (9)投标文件的资格及资信证明部分、技术商务部分中出现报价部分的全部或部分的投标报价信息（或组成资料）； (10)属于招标文件规定评标委员会应否决其投标的情形，无效投标条款的；（11）不符合招标文件中规定的其它实质性要求的条款。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3BBDD5C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商务符合性</w:t>
      </w:r>
    </w:p>
    <w:tbl>
      <w:tblPr>
        <w:tblStyle w:val="17"/>
        <w:tblW w:w="854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709"/>
        <w:gridCol w:w="6837"/>
      </w:tblGrid>
      <w:tr w14:paraId="56A28A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0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AFE7B1B">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情形</w:t>
            </w:r>
          </w:p>
        </w:tc>
        <w:tc>
          <w:tcPr>
            <w:tcW w:w="683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5DDE98C">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明细</w:t>
            </w:r>
          </w:p>
        </w:tc>
      </w:tr>
      <w:tr w14:paraId="56278C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0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3062A8">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其他情形</w:t>
            </w:r>
          </w:p>
        </w:tc>
        <w:tc>
          <w:tcPr>
            <w:tcW w:w="68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D3EE50D">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(1)未按照招标文件规定要求进行编制、签署、盖章的； (2)投标有效期不满足招标文件要求的； (3)投标内容与招标内容及要求有重大偏离或保留的； (4)投标文件中提供虚假或失实资料的； (5)明显不符合技术规格、技术标准的要求； (6)投标人附有采购人不能接受的条件； (7)一个投标人只能提交一个投标文件； (8)投标文件组成不符合招标文件要求的； (9)投标文件的资格及资信证明部分、技术商务部分中出现报价部分的全部或部分的投标报价信息（或组成资料）； (10)属于招标文件规定评标委员会应否决其投标的情形，无效投标条款的；（11）不符合招标文件中规定的其它实质性要求的条款。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722D627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附加符合性：无</w:t>
      </w:r>
    </w:p>
    <w:p w14:paraId="35084DDA">
      <w:pPr>
        <w:pStyle w:val="4"/>
        <w:widowControl/>
        <w:spacing w:beforeAutospacing="0" w:afterAutospacing="0" w:line="480" w:lineRule="atLeas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价格符合性：</w:t>
      </w:r>
    </w:p>
    <w:tbl>
      <w:tblPr>
        <w:tblStyle w:val="1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24"/>
        <w:gridCol w:w="6482"/>
      </w:tblGrid>
      <w:tr w14:paraId="04D17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24" w:type="dxa"/>
            <w:vAlign w:val="top"/>
          </w:tcPr>
          <w:p w14:paraId="0D93BD0A">
            <w:pPr>
              <w:pStyle w:val="26"/>
              <w:jc w:val="left"/>
              <w:rPr>
                <w:rFonts w:ascii="宋体" w:hAnsi="宋体" w:cs="宋体"/>
                <w:b/>
                <w:bCs/>
                <w:sz w:val="24"/>
                <w:szCs w:val="24"/>
              </w:rPr>
            </w:pPr>
            <w:r>
              <w:rPr>
                <w:rFonts w:ascii="宋体" w:hAnsi="宋体" w:eastAsia="宋体" w:cs="宋体"/>
                <w:b/>
                <w:bCs/>
                <w:sz w:val="24"/>
                <w:szCs w:val="24"/>
              </w:rPr>
              <w:t xml:space="preserve"> 情形</w:t>
            </w:r>
          </w:p>
        </w:tc>
        <w:tc>
          <w:tcPr>
            <w:tcW w:w="6482" w:type="dxa"/>
            <w:vAlign w:val="top"/>
          </w:tcPr>
          <w:p w14:paraId="04C8F11C">
            <w:pPr>
              <w:pStyle w:val="26"/>
              <w:jc w:val="left"/>
              <w:rPr>
                <w:rFonts w:ascii="宋体" w:hAnsi="宋体" w:cs="宋体"/>
                <w:b/>
                <w:bCs/>
                <w:sz w:val="24"/>
                <w:szCs w:val="24"/>
              </w:rPr>
            </w:pPr>
            <w:r>
              <w:rPr>
                <w:rFonts w:ascii="宋体" w:hAnsi="宋体" w:eastAsia="宋体" w:cs="宋体"/>
                <w:b/>
                <w:bCs/>
                <w:sz w:val="24"/>
                <w:szCs w:val="24"/>
              </w:rPr>
              <w:t xml:space="preserve"> 明细</w:t>
            </w:r>
          </w:p>
        </w:tc>
      </w:tr>
      <w:tr w14:paraId="16727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4" w:type="dxa"/>
            <w:vAlign w:val="top"/>
          </w:tcPr>
          <w:p w14:paraId="70720B2B">
            <w:pPr>
              <w:pStyle w:val="26"/>
              <w:jc w:val="left"/>
              <w:rPr>
                <w:rFonts w:ascii="宋体" w:hAnsi="宋体" w:cs="宋体"/>
                <w:sz w:val="24"/>
                <w:szCs w:val="24"/>
              </w:rPr>
            </w:pPr>
            <w:r>
              <w:rPr>
                <w:rFonts w:ascii="宋体" w:hAnsi="宋体" w:eastAsia="宋体" w:cs="宋体"/>
                <w:sz w:val="24"/>
                <w:szCs w:val="24"/>
              </w:rPr>
              <w:t>其他情形</w:t>
            </w:r>
          </w:p>
        </w:tc>
        <w:tc>
          <w:tcPr>
            <w:tcW w:w="6482" w:type="dxa"/>
            <w:vAlign w:val="top"/>
          </w:tcPr>
          <w:p w14:paraId="2788CCF6">
            <w:pPr>
              <w:wordWrap w:val="0"/>
              <w:spacing w:line="480" w:lineRule="atLeast"/>
              <w:rPr>
                <w:rFonts w:hint="eastAsia" w:ascii="宋体" w:hAnsi="宋体" w:eastAsia="宋体" w:cs="宋体"/>
                <w:kern w:val="0"/>
                <w:sz w:val="24"/>
                <w:szCs w:val="24"/>
              </w:rPr>
            </w:pPr>
            <w:r>
              <w:rPr>
                <w:rFonts w:hint="eastAsia" w:ascii="宋体" w:hAnsi="宋体" w:eastAsia="宋体" w:cs="宋体"/>
                <w:kern w:val="0"/>
                <w:sz w:val="24"/>
                <w:szCs w:val="24"/>
              </w:rPr>
              <w:t>根据《财政部关于印发关于在相关自由贸易试验区和自由贸易港开展推动解决政府采购异常低价问题试点工作的通知》 （财办库〔2024〕265号，本通知自2025年2月1日起施行）规定，“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6DA0E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4" w:type="dxa"/>
            <w:vAlign w:val="top"/>
          </w:tcPr>
          <w:p w14:paraId="72335FB5">
            <w:pPr>
              <w:pStyle w:val="26"/>
              <w:jc w:val="left"/>
              <w:rPr>
                <w:rFonts w:ascii="宋体" w:hAnsi="宋体" w:cs="宋体"/>
                <w:sz w:val="24"/>
                <w:szCs w:val="24"/>
              </w:rPr>
            </w:pPr>
            <w:r>
              <w:rPr>
                <w:rFonts w:ascii="宋体" w:hAnsi="宋体" w:eastAsia="宋体" w:cs="宋体"/>
                <w:sz w:val="24"/>
                <w:szCs w:val="24"/>
              </w:rPr>
              <w:t>其他情形</w:t>
            </w:r>
          </w:p>
        </w:tc>
        <w:tc>
          <w:tcPr>
            <w:tcW w:w="6482" w:type="dxa"/>
            <w:vAlign w:val="top"/>
          </w:tcPr>
          <w:p w14:paraId="3D6EA375">
            <w:pPr>
              <w:wordWrap w:val="0"/>
              <w:spacing w:line="480" w:lineRule="atLeast"/>
              <w:rPr>
                <w:rFonts w:hint="eastAsia" w:ascii="宋体" w:hAnsi="宋体" w:eastAsia="宋体" w:cs="宋体"/>
                <w:kern w:val="0"/>
                <w:sz w:val="24"/>
                <w:szCs w:val="24"/>
              </w:rPr>
            </w:pPr>
            <w:r>
              <w:rPr>
                <w:rFonts w:hint="eastAsia" w:ascii="宋体" w:hAnsi="宋体" w:eastAsia="宋体" w:cs="宋体"/>
                <w:kern w:val="0"/>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投标报价超出最高限价或预算金额或不符合招标文件报价要求的。</w:t>
            </w:r>
          </w:p>
        </w:tc>
      </w:tr>
    </w:tbl>
    <w:p w14:paraId="11B8D30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6.3澄清有关问题</w:t>
      </w:r>
    </w:p>
    <w:p w14:paraId="68AA089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（1）对通过符合性审查的电子投标文件中含义不明确、同类问题表述不一致或有明显文字和计算错误的内容，评标委员会将以书面形式要求投标人作出必要的澄清、说明或补正。</w:t>
      </w:r>
    </w:p>
    <w:p w14:paraId="23C3265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38F158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（3）电子投标文件报价出现前后不一致的，除招标文件另有规定外，按照下列规定修正：</w:t>
      </w:r>
    </w:p>
    <w:p w14:paraId="1C1336B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①开标（报价）一览表内容与电子投标文件中相应内容不一致的，以开标（报价）一览表为准；</w:t>
      </w:r>
    </w:p>
    <w:p w14:paraId="3D4AA19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②大写金额和小写金额不一致的，以大写金额为准；</w:t>
      </w:r>
    </w:p>
    <w:p w14:paraId="16063AB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③单价金额小数点或百分比有明显错位的，以开标（报价）一览表的总价为准，并修改单价；</w:t>
      </w:r>
    </w:p>
    <w:p w14:paraId="2C3F172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④总价金额与按照单价汇总金额不一致的，以单价金额计算结果为准。</w:t>
      </w:r>
    </w:p>
    <w:p w14:paraId="5BCCB48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※同时出现两种以上不一致的，按照前款规定的顺序修正。修正后的报价应按照本章第6.3条第（1）、（2）款规定经投标人确认后产生约束力，投标人不确认的，其投标无效。</w:t>
      </w:r>
    </w:p>
    <w:p w14:paraId="2F3DEA8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（4）关于细微偏差</w:t>
      </w:r>
    </w:p>
    <w:p w14:paraId="6099643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45C4E3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②评标委员会将以书面形式要求存在细微偏差的投标人在评标委员会规定的时间内予以补正。若无法补正，则评标委员会将按照不利于投标人的内容进行认定。</w:t>
      </w:r>
    </w:p>
    <w:p w14:paraId="734C503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（5）关于投标描述（即电子投标文件中描述的内容）</w:t>
      </w:r>
    </w:p>
    <w:p w14:paraId="18674B2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①投标描述前后不一致且不涉及证明材料的：按照本章第6.3条第（1）、（2）款规定执行。</w:t>
      </w:r>
    </w:p>
    <w:p w14:paraId="2C6B0C2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②投标描述与证明材料不一致或多份证明材料之间不一致的：</w:t>
      </w:r>
    </w:p>
    <w:p w14:paraId="166E930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a.评标委员会将要求投标人进行书面澄清，并按照不利于投标人的内容进行评标。</w:t>
      </w:r>
    </w:p>
    <w:p w14:paraId="2DF6742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C10C79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41E90F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6.4比较与评价</w:t>
      </w:r>
    </w:p>
    <w:p w14:paraId="7167B5C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（1）按照本章第7条载明的评标方法和标准，对符合性审查合格的电子投标文件进行比较与评价。</w:t>
      </w:r>
    </w:p>
    <w:p w14:paraId="3B89799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（2）关于相同品牌产品（政府采购服务类项目不适用本条款规定）</w:t>
      </w:r>
    </w:p>
    <w:p w14:paraId="7BBE30E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3E169C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a.招标文件规定的方式：</w:t>
      </w:r>
    </w:p>
    <w:p w14:paraId="03FEABB1">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按照技术指标优劣、服务要求响应优劣、资格条件高低、商务条件高低情况依序择优确定一个投标人获得中标人推荐资格。其他同品牌投标人不作为中标候选人。</w:t>
      </w:r>
    </w:p>
    <w:p w14:paraId="0BEE9D1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b.招标文件未规定的，采取随机抽取方式确定，其他投标无效。</w:t>
      </w:r>
    </w:p>
    <w:p w14:paraId="059FB4EA">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4A8494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a.招标文件规定的方式：</w:t>
      </w:r>
    </w:p>
    <w:p w14:paraId="02004E09">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评审得分相同的，则按“价格部分”的得分高低排序；若投标人的评审得分相同且价格部分得分也相同的，则按“技术部分”的得分高低排序；若评审得分相同且价格 部分与技术部分得分也相同的，则按“商务部分”的得分高低排序；若评审得分相同、价格部分得分相同且技术部分得分与商务部分得分也相同的，则根据投标人的售后服务承诺等方面，择优选择中标候选人。其他同品牌投标人不作为中标候选人。</w:t>
      </w:r>
    </w:p>
    <w:p w14:paraId="1050490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b.招标文件未规定的，采取随机抽取方式确定，其他同品牌投标人不作为中标候选人。</w:t>
      </w:r>
    </w:p>
    <w:p w14:paraId="55BB740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③非单一产品采购项目，多家投标人提供的核心产品品牌相同的，按照本章第6.4条第（2）款第①、②规定处理。</w:t>
      </w:r>
    </w:p>
    <w:p w14:paraId="3085E02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（3）漏（缺）项</w:t>
      </w:r>
    </w:p>
    <w:p w14:paraId="7BC0D78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①招标文件中要求列入报价的费用（含配置、功能），漏（缺）项的报价视为已经包括在投标总价中。</w:t>
      </w:r>
    </w:p>
    <w:p w14:paraId="4CAD6C4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②对多报项及赠送项的价格评标时不予核减，全部进入评标价评议。</w:t>
      </w:r>
    </w:p>
    <w:p w14:paraId="0279AC5F">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6.5推荐中标候选人：详见本章第7.2条规定。</w:t>
      </w:r>
    </w:p>
    <w:p w14:paraId="2C24FD19">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6.6编写评标报告</w:t>
      </w:r>
    </w:p>
    <w:p w14:paraId="085C8B8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（1）评标报告由评标委员会负责编写。</w:t>
      </w:r>
    </w:p>
    <w:p w14:paraId="0EB627F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（2）评标报告应包括下列内容：</w:t>
      </w:r>
    </w:p>
    <w:p w14:paraId="51F52C7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①招标公告刊登的媒体名称、开标日期和地点；</w:t>
      </w:r>
    </w:p>
    <w:p w14:paraId="30963F7D">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②投标人名单和评标委员会成员名单；</w:t>
      </w:r>
    </w:p>
    <w:p w14:paraId="660793DE">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③评标方法和标准；</w:t>
      </w:r>
    </w:p>
    <w:p w14:paraId="703EC9F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④开标记录和评标情况及说明，包括无效投标人名单及原因；</w:t>
      </w:r>
    </w:p>
    <w:p w14:paraId="690A96F3">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⑤评标结果，包括中标候选人名单或确定的中标人；</w:t>
      </w:r>
    </w:p>
    <w:p w14:paraId="6D261331">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⑥其他需要说明的情况，包括但不限于：评标过程中投标人的澄清、说明或补正，评委更换等。</w:t>
      </w:r>
    </w:p>
    <w:p w14:paraId="7B8C426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7704567">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6.8评委对需要共同认定的事项存在争议的，应按照少数服从多数的原则进行认定。持不同意见的评委应在评标报告上签署不同意见及理由，否则视为同意评标报告。</w:t>
      </w:r>
    </w:p>
    <w:p w14:paraId="4EBABE7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6.9在评标过程中发现投标人有下列情形之一的，评标委员会应认定其投标无效，并书面报告本项目监督管理部门：</w:t>
      </w:r>
    </w:p>
    <w:p w14:paraId="1A5C8484">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（1）恶意串通（包括但不限于招标文件第三章第9.7条规定情形）；</w:t>
      </w:r>
    </w:p>
    <w:p w14:paraId="0110E46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（2）妨碍其他投标人的竞争行为；</w:t>
      </w:r>
    </w:p>
    <w:p w14:paraId="46282E60">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（3）损害采购人或其他投标人的合法权益。</w:t>
      </w:r>
    </w:p>
    <w:p w14:paraId="1890A6DC">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6.10评标过程中，有下列情形之一的，应予废标：</w:t>
      </w:r>
    </w:p>
    <w:p w14:paraId="3CF7CF8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（1）符合性审查合格的投标人不足三家的；</w:t>
      </w:r>
    </w:p>
    <w:p w14:paraId="0D66CF96">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（2）有关法律、法规和规章规定废标的情形。</w:t>
      </w:r>
    </w:p>
    <w:p w14:paraId="749321B8">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※若废标，则本次采购活动结束， 福建省新卫招标代理有限公司 将依法组织后续采购活动（包括但不限于：重新招标、采用其他方式采购等）。</w:t>
      </w:r>
    </w:p>
    <w:p w14:paraId="470F87F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7、评标方法和标准</w:t>
      </w:r>
    </w:p>
    <w:p w14:paraId="4FFBFFE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7.1评标方法：</w:t>
      </w:r>
    </w:p>
    <w:p w14:paraId="338AB816">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采购包1：综合评分法</w:t>
      </w:r>
    </w:p>
    <w:p w14:paraId="59A83915">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7.2评标标准</w:t>
      </w:r>
    </w:p>
    <w:p w14:paraId="01FABD82">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采购包1：综合评分法</w:t>
      </w:r>
    </w:p>
    <w:p w14:paraId="4E017209">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（1）投标文件满足招标文件全部实质性要求，且按照评审因素的量化指标评审得分（即评标总得分）最高的投标人为中标候选人。</w:t>
      </w:r>
    </w:p>
    <w:p w14:paraId="18F6A799">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（2）每个投标人的评标总得分FA＝F1×A1＋F2×A2＋F3×A3</w:t>
      </w:r>
    </w:p>
    <w:p w14:paraId="338539C6">
      <w:pPr>
        <w:widowControl/>
        <w:shd w:val="clear" w:color="auto" w:fill="FFFFFF"/>
        <w:spacing w:line="480" w:lineRule="atLeast"/>
        <w:rPr>
          <w:rFonts w:ascii="宋体" w:hAnsi="宋体" w:eastAsia="宋体" w:cs="宋体"/>
          <w:color w:val="333333"/>
          <w:sz w:val="24"/>
        </w:rPr>
      </w:pPr>
      <w:r>
        <w:rPr>
          <w:rFonts w:hint="eastAsia" w:ascii="宋体" w:hAnsi="宋体" w:eastAsia="宋体" w:cs="宋体"/>
          <w:color w:val="333333"/>
          <w:kern w:val="0"/>
          <w:sz w:val="24"/>
          <w:shd w:val="clear" w:color="auto" w:fill="FFFFFF"/>
        </w:rPr>
        <w:t>，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32D4767">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各项评审因素的设置如下：</w:t>
      </w:r>
    </w:p>
    <w:p w14:paraId="0830AF62">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价格项（F1×A1）满分为</w:t>
      </w:r>
      <w:r>
        <w:rPr>
          <w:rFonts w:hint="eastAsia" w:ascii="宋体" w:hAnsi="宋体" w:eastAsia="宋体" w:cs="宋体"/>
          <w:color w:val="333333"/>
          <w:shd w:val="clear" w:color="auto" w:fill="FFFFFF"/>
          <w:lang w:val="en-US" w:eastAsia="zh-CN"/>
        </w:rPr>
        <w:t>5</w:t>
      </w:r>
      <w:r>
        <w:rPr>
          <w:rFonts w:hint="eastAsia" w:ascii="宋体" w:hAnsi="宋体" w:eastAsia="宋体" w:cs="宋体"/>
          <w:color w:val="333333"/>
          <w:shd w:val="clear" w:color="auto" w:fill="FFFFFF"/>
        </w:rPr>
        <w:t>0.0000分</w:t>
      </w:r>
    </w:p>
    <w:p w14:paraId="4CEB6846">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BC06663">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价格扣除的规则如下：</w:t>
      </w:r>
    </w:p>
    <w:tbl>
      <w:tblPr>
        <w:tblStyle w:val="17"/>
        <w:tblW w:w="854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143"/>
        <w:gridCol w:w="930"/>
        <w:gridCol w:w="840"/>
        <w:gridCol w:w="5633"/>
      </w:tblGrid>
      <w:tr w14:paraId="012233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43"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5F87B55">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项目</w:t>
            </w:r>
          </w:p>
        </w:tc>
        <w:tc>
          <w:tcPr>
            <w:tcW w:w="93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9BAD1DF">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适用对象</w:t>
            </w:r>
          </w:p>
        </w:tc>
        <w:tc>
          <w:tcPr>
            <w:tcW w:w="84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AA07D78">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比例</w:t>
            </w:r>
          </w:p>
        </w:tc>
        <w:tc>
          <w:tcPr>
            <w:tcW w:w="5633"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519DF8C">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描述</w:t>
            </w:r>
          </w:p>
        </w:tc>
      </w:tr>
    </w:tbl>
    <w:p w14:paraId="303F7271">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优先类节能产品、环境标志产品的价格扣除规则如下</w:t>
      </w:r>
    </w:p>
    <w:tbl>
      <w:tblPr>
        <w:tblStyle w:val="17"/>
        <w:tblW w:w="854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291"/>
        <w:gridCol w:w="744"/>
        <w:gridCol w:w="6511"/>
      </w:tblGrid>
      <w:tr w14:paraId="5A7B5E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9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F7AE2C0">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项目</w:t>
            </w:r>
          </w:p>
        </w:tc>
        <w:tc>
          <w:tcPr>
            <w:tcW w:w="74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2D20EF4">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比例</w:t>
            </w:r>
          </w:p>
        </w:tc>
        <w:tc>
          <w:tcPr>
            <w:tcW w:w="651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24FE490">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方法</w:t>
            </w:r>
          </w:p>
        </w:tc>
      </w:tr>
      <w:tr w14:paraId="26029B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9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537B45">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节能、环境标志产品</w:t>
            </w:r>
          </w:p>
        </w:tc>
        <w:tc>
          <w:tcPr>
            <w:tcW w:w="74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35DD06">
            <w:pPr>
              <w:widowControl/>
              <w:wordWrap w:val="0"/>
              <w:spacing w:line="480" w:lineRule="atLeast"/>
              <w:jc w:val="right"/>
              <w:rPr>
                <w:rFonts w:ascii="宋体" w:hAnsi="宋体" w:eastAsia="宋体" w:cs="宋体"/>
                <w:sz w:val="24"/>
              </w:rPr>
            </w:pPr>
            <w:r>
              <w:rPr>
                <w:rFonts w:hint="eastAsia" w:ascii="宋体" w:hAnsi="宋体" w:eastAsia="宋体" w:cs="宋体"/>
                <w:kern w:val="0"/>
                <w:sz w:val="24"/>
              </w:rPr>
              <w:t>10.0000%</w:t>
            </w:r>
          </w:p>
        </w:tc>
        <w:tc>
          <w:tcPr>
            <w:tcW w:w="651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823208">
            <w:pPr>
              <w:widowControl/>
              <w:wordWrap w:val="0"/>
              <w:spacing w:line="480" w:lineRule="atLeast"/>
              <w:rPr>
                <w:rFonts w:ascii="宋体" w:hAnsi="宋体" w:eastAsia="宋体" w:cs="宋体"/>
                <w:sz w:val="24"/>
              </w:rPr>
            </w:pPr>
            <w:r>
              <w:rPr>
                <w:rFonts w:hint="eastAsia" w:ascii="宋体" w:hAnsi="宋体" w:eastAsia="宋体" w:cs="宋体"/>
                <w:kern w:val="0"/>
                <w:sz w:val="24"/>
              </w:rPr>
              <w:t>1、同一采购包内，对节能产品、环境标志产品政府采购品目清单范围内，实施优先采购的产品，给予产品价格报价10%的扣除，用扣除后的价格参加评审。采购标的同时包含其它非优先采购产品的，供应商应当对优先采购产品和非优先采购产品进行分项报价，非优先采购产品的报价不得享受给予节能产品、环境标志产品的价格扣除优惠。2、同一优先采购产品中各认证证书不重复计算价格扣除。强制类节能产品不进行价格扣除。注：对于同时属于节能、环境标志的产品，应当优先于只获得其中一项认证的产品。供应商在投标时必须对属于节能、环境标志产品分项报价，并提供产品的认证证书复印件附在报价部分(电子证明资料应上传在对应评分模块)且加盖供应商公章。未单独分项报价或未提供产品的证明资料的不给予价格扣除。投标产品属于节能、环境标志产品的，可享受相关的鼓励优惠政策；若节能、环境标志产品仅是构成投标产品的部件、组件或零件的，则该投标产品不享受鼓励优惠政策。资格小组审查此项响应性只根据投标文件本身的内容，而不寻求其他的外部证据。(本文件中其他有关附加部分评审中节能、环境标志产品描述情况与此处不一致，以此处为准)</w:t>
            </w:r>
          </w:p>
        </w:tc>
      </w:tr>
    </w:tbl>
    <w:p w14:paraId="1C190123">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其他：无</w:t>
      </w:r>
    </w:p>
    <w:p w14:paraId="613F837B">
      <w:pPr>
        <w:pStyle w:val="4"/>
        <w:widowControl/>
        <w:spacing w:beforeAutospacing="0" w:afterAutospacing="0" w:line="480" w:lineRule="atLeast"/>
        <w:ind w:firstLine="420"/>
        <w:jc w:val="both"/>
        <w:rPr>
          <w:rFonts w:ascii="宋体" w:hAnsi="宋体" w:eastAsia="宋体" w:cs="宋体"/>
          <w:b w:val="0"/>
          <w:bCs w:val="0"/>
        </w:rPr>
      </w:pPr>
      <w:r>
        <w:rPr>
          <w:rFonts w:hint="eastAsia" w:ascii="宋体" w:hAnsi="宋体" w:eastAsia="宋体" w:cs="宋体"/>
          <w:b w:val="0"/>
          <w:bCs w:val="0"/>
          <w:color w:val="333333"/>
          <w:shd w:val="clear" w:color="auto" w:fill="FFFFFF"/>
        </w:rPr>
        <w:t>技术项（F2×A2）满分为</w:t>
      </w:r>
      <w:r>
        <w:rPr>
          <w:rFonts w:hint="eastAsia" w:ascii="宋体" w:hAnsi="宋体" w:eastAsia="宋体" w:cs="宋体"/>
          <w:b w:val="0"/>
          <w:bCs w:val="0"/>
          <w:color w:val="333333"/>
          <w:shd w:val="clear" w:color="auto" w:fill="FFFFFF"/>
          <w:lang w:val="en-US" w:eastAsia="zh-CN"/>
        </w:rPr>
        <w:t>40</w:t>
      </w:r>
      <w:r>
        <w:rPr>
          <w:rFonts w:hint="eastAsia" w:ascii="宋体" w:hAnsi="宋体" w:eastAsia="宋体" w:cs="宋体"/>
          <w:b w:val="0"/>
          <w:bCs w:val="0"/>
          <w:color w:val="333333"/>
          <w:shd w:val="clear" w:color="auto" w:fill="FFFFFF"/>
        </w:rPr>
        <w:t>.0000分</w:t>
      </w:r>
    </w:p>
    <w:tbl>
      <w:tblPr>
        <w:tblStyle w:val="17"/>
        <w:tblW w:w="854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548"/>
        <w:gridCol w:w="675"/>
        <w:gridCol w:w="6323"/>
      </w:tblGrid>
      <w:tr w14:paraId="11AEB5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F29281B">
            <w:pPr>
              <w:widowControl/>
              <w:wordWrap w:val="0"/>
              <w:spacing w:line="480" w:lineRule="atLeast"/>
              <w:jc w:val="left"/>
              <w:rPr>
                <w:rFonts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rPr>
              <w:t>项目</w:t>
            </w:r>
          </w:p>
        </w:tc>
        <w:tc>
          <w:tcPr>
            <w:tcW w:w="67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C5968E9">
            <w:pPr>
              <w:widowControl/>
              <w:wordWrap w:val="0"/>
              <w:spacing w:line="480" w:lineRule="atLeast"/>
              <w:jc w:val="left"/>
              <w:rPr>
                <w:rFonts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rPr>
              <w:t>分值</w:t>
            </w:r>
          </w:p>
        </w:tc>
        <w:tc>
          <w:tcPr>
            <w:tcW w:w="6323"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8A8262D">
            <w:pPr>
              <w:widowControl/>
              <w:wordWrap w:val="0"/>
              <w:spacing w:line="480" w:lineRule="atLeast"/>
              <w:jc w:val="left"/>
              <w:rPr>
                <w:rFonts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rPr>
              <w:t>描述</w:t>
            </w:r>
          </w:p>
        </w:tc>
      </w:tr>
      <w:tr w14:paraId="18DFEB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50D04C">
            <w:pPr>
              <w:widowControl/>
              <w:wordWrap w:val="0"/>
              <w:spacing w:line="480" w:lineRule="atLeast"/>
              <w:jc w:val="center"/>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1、</w:t>
            </w:r>
            <w:r>
              <w:rPr>
                <w:rFonts w:hint="eastAsia" w:ascii="宋体" w:hAnsi="宋体" w:eastAsia="宋体" w:cs="宋体"/>
                <w:b w:val="0"/>
                <w:bCs w:val="0"/>
                <w:color w:val="auto"/>
                <w:kern w:val="0"/>
                <w:sz w:val="24"/>
                <w:highlight w:val="none"/>
              </w:rPr>
              <w:t>外协人员入监登记申请</w:t>
            </w:r>
            <w:r>
              <w:rPr>
                <w:rFonts w:hint="eastAsia" w:ascii="宋体" w:hAnsi="宋体" w:eastAsia="宋体" w:cs="宋体"/>
                <w:b w:val="0"/>
                <w:bCs w:val="0"/>
                <w:color w:val="auto"/>
                <w:kern w:val="0"/>
                <w:sz w:val="24"/>
                <w:highlight w:val="none"/>
                <w:lang w:val="en-US" w:eastAsia="zh-CN"/>
              </w:rPr>
              <w:t>功能</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9057D8A">
            <w:pPr>
              <w:widowControl/>
              <w:wordWrap w:val="0"/>
              <w:spacing w:line="480" w:lineRule="atLeast"/>
              <w:jc w:val="righ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3</w:t>
            </w:r>
            <w:r>
              <w:rPr>
                <w:rFonts w:hint="eastAsia" w:ascii="宋体" w:hAnsi="宋体" w:eastAsia="宋体" w:cs="宋体"/>
                <w:b w:val="0"/>
                <w:bCs w:val="0"/>
                <w:color w:val="auto"/>
                <w:kern w:val="0"/>
                <w:sz w:val="24"/>
                <w:highlight w:val="none"/>
              </w:rPr>
              <w:t>.0000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36FE1D">
            <w:pPr>
              <w:widowControl/>
              <w:wordWrap w:val="0"/>
              <w:spacing w:line="480" w:lineRule="atLeast"/>
              <w:jc w:val="lef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根据投标人所投产品“</w:t>
            </w:r>
            <w:r>
              <w:rPr>
                <w:rFonts w:hint="eastAsia" w:ascii="宋体" w:hAnsi="宋体" w:eastAsia="宋体" w:cs="宋体"/>
                <w:b w:val="0"/>
                <w:bCs w:val="0"/>
                <w:color w:val="auto"/>
                <w:kern w:val="0"/>
                <w:sz w:val="24"/>
                <w:highlight w:val="none"/>
              </w:rPr>
              <w:t>外协人员入监登记申请</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支持</w:t>
            </w:r>
            <w:r>
              <w:rPr>
                <w:rFonts w:hint="eastAsia" w:ascii="宋体" w:hAnsi="宋体" w:eastAsia="宋体" w:cs="宋体"/>
                <w:b w:val="0"/>
                <w:bCs w:val="0"/>
                <w:color w:val="auto"/>
                <w:kern w:val="0"/>
                <w:sz w:val="24"/>
                <w:highlight w:val="none"/>
              </w:rPr>
              <w:t>①移动终端、②外协自助终端、③PC端发起申请</w:t>
            </w:r>
            <w:r>
              <w:rPr>
                <w:rFonts w:hint="eastAsia" w:ascii="宋体" w:hAnsi="宋体" w:eastAsia="宋体" w:cs="宋体"/>
                <w:b w:val="0"/>
                <w:bCs w:val="0"/>
                <w:color w:val="auto"/>
                <w:kern w:val="0"/>
                <w:sz w:val="24"/>
                <w:highlight w:val="none"/>
                <w:lang w:val="en-US" w:eastAsia="zh-CN"/>
              </w:rPr>
              <w:t>功能，由评委进行评分：</w:t>
            </w:r>
            <w:r>
              <w:rPr>
                <w:rFonts w:hint="eastAsia" w:ascii="宋体" w:hAnsi="宋体" w:eastAsia="宋体" w:cs="宋体"/>
                <w:b w:val="0"/>
                <w:bCs w:val="0"/>
                <w:color w:val="auto"/>
                <w:kern w:val="0"/>
                <w:sz w:val="24"/>
                <w:highlight w:val="none"/>
              </w:rPr>
              <w:t>每提供一种终端界面</w:t>
            </w:r>
            <w:r>
              <w:rPr>
                <w:rFonts w:hint="eastAsia" w:ascii="宋体" w:hAnsi="宋体" w:eastAsia="宋体" w:cs="宋体"/>
                <w:b w:val="0"/>
                <w:bCs w:val="0"/>
                <w:color w:val="auto"/>
                <w:kern w:val="0"/>
                <w:sz w:val="24"/>
                <w:highlight w:val="none"/>
                <w:lang w:val="en-US" w:eastAsia="zh-CN"/>
              </w:rPr>
              <w:t>的</w:t>
            </w:r>
            <w:r>
              <w:rPr>
                <w:rFonts w:hint="eastAsia" w:ascii="宋体" w:hAnsi="宋体" w:eastAsia="宋体" w:cs="宋体"/>
                <w:b w:val="0"/>
                <w:bCs w:val="0"/>
                <w:color w:val="auto"/>
                <w:kern w:val="0"/>
                <w:sz w:val="24"/>
                <w:highlight w:val="none"/>
              </w:rPr>
              <w:t>得1分，满分3分</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注：</w:t>
            </w:r>
            <w:r>
              <w:rPr>
                <w:rFonts w:hint="eastAsia" w:ascii="宋体" w:hAnsi="宋体" w:eastAsia="宋体" w:cs="宋体"/>
                <w:b w:val="0"/>
                <w:bCs w:val="0"/>
                <w:color w:val="auto"/>
                <w:kern w:val="0"/>
                <w:sz w:val="24"/>
                <w:highlight w:val="none"/>
              </w:rPr>
              <w:t>每种终端界面需提供2张及以上页面截图或设计图</w:t>
            </w:r>
            <w:r>
              <w:rPr>
                <w:rFonts w:hint="eastAsia" w:ascii="宋体" w:hAnsi="宋体" w:eastAsia="宋体" w:cs="宋体"/>
                <w:b w:val="0"/>
                <w:bCs w:val="0"/>
                <w:color w:val="auto"/>
                <w:kern w:val="0"/>
                <w:sz w:val="24"/>
                <w:highlight w:val="none"/>
                <w:lang w:eastAsia="zh-CN"/>
              </w:rPr>
              <w:t>。</w:t>
            </w:r>
          </w:p>
        </w:tc>
      </w:tr>
      <w:tr w14:paraId="55DEDC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245CD0">
            <w:pPr>
              <w:widowControl/>
              <w:wordWrap w:val="0"/>
              <w:spacing w:line="480" w:lineRule="atLeast"/>
              <w:jc w:val="center"/>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外协人员入监审批</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1BDA02D">
            <w:pPr>
              <w:widowControl/>
              <w:wordWrap w:val="0"/>
              <w:spacing w:line="480" w:lineRule="atLeast"/>
              <w:jc w:val="righ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3</w:t>
            </w:r>
            <w:r>
              <w:rPr>
                <w:rFonts w:hint="eastAsia" w:ascii="宋体" w:hAnsi="宋体" w:eastAsia="宋体" w:cs="宋体"/>
                <w:b w:val="0"/>
                <w:bCs w:val="0"/>
                <w:color w:val="auto"/>
                <w:kern w:val="0"/>
                <w:sz w:val="24"/>
                <w:highlight w:val="none"/>
              </w:rPr>
              <w:t>.0000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2B34036">
            <w:pPr>
              <w:widowControl/>
              <w:wordWrap w:val="0"/>
              <w:spacing w:line="480" w:lineRule="atLeast"/>
              <w:jc w:val="lef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投标人所投产品“</w:t>
            </w:r>
            <w:r>
              <w:rPr>
                <w:rFonts w:hint="eastAsia" w:ascii="宋体" w:hAnsi="宋体" w:eastAsia="宋体" w:cs="宋体"/>
                <w:b w:val="0"/>
                <w:bCs w:val="0"/>
                <w:color w:val="auto"/>
                <w:sz w:val="24"/>
                <w:highlight w:val="none"/>
              </w:rPr>
              <w:t>外协人员入监审批</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具有与外协或</w:t>
            </w:r>
            <w:r>
              <w:rPr>
                <w:rFonts w:hint="eastAsia" w:ascii="宋体" w:hAnsi="宋体" w:cs="宋体"/>
                <w:b w:val="0"/>
                <w:bCs w:val="0"/>
                <w:color w:val="auto"/>
                <w:sz w:val="24"/>
                <w:highlight w:val="none"/>
              </w:rPr>
              <w:t>人员出入审批</w:t>
            </w:r>
            <w:r>
              <w:rPr>
                <w:rFonts w:hint="eastAsia" w:ascii="宋体" w:hAnsi="宋体" w:eastAsia="宋体" w:cs="宋体"/>
                <w:b w:val="0"/>
                <w:bCs w:val="0"/>
                <w:color w:val="auto"/>
                <w:sz w:val="24"/>
                <w:highlight w:val="none"/>
              </w:rPr>
              <w:t>相关系统的软件著作权证书</w:t>
            </w:r>
            <w:r>
              <w:rPr>
                <w:rFonts w:hint="eastAsia" w:ascii="宋体" w:hAnsi="宋体" w:eastAsia="宋体" w:cs="宋体"/>
                <w:b w:val="0"/>
                <w:bCs w:val="0"/>
                <w:color w:val="auto"/>
                <w:sz w:val="24"/>
                <w:highlight w:val="none"/>
                <w:lang w:val="en-US" w:eastAsia="zh-CN"/>
              </w:rPr>
              <w:t>的得3分</w:t>
            </w:r>
            <w:r>
              <w:rPr>
                <w:rFonts w:hint="eastAsia" w:ascii="宋体" w:hAnsi="宋体" w:eastAsia="宋体" w:cs="宋体"/>
                <w:b w:val="0"/>
                <w:bCs w:val="0"/>
                <w:color w:val="auto"/>
                <w:sz w:val="24"/>
                <w:highlight w:val="none"/>
              </w:rPr>
              <w:t>。须提供国家版权局颁发的《计算机软件著作权证书》复印件，否则不得分</w:t>
            </w:r>
            <w:r>
              <w:rPr>
                <w:rFonts w:hint="eastAsia" w:ascii="宋体" w:hAnsi="宋体" w:cs="宋体"/>
                <w:b w:val="0"/>
                <w:bCs w:val="0"/>
                <w:color w:val="auto"/>
                <w:sz w:val="24"/>
                <w:highlight w:val="none"/>
              </w:rPr>
              <w:t>，需提供原件备查</w:t>
            </w:r>
            <w:r>
              <w:rPr>
                <w:rFonts w:hint="eastAsia" w:ascii="宋体" w:hAnsi="宋体" w:eastAsia="宋体" w:cs="宋体"/>
                <w:b w:val="0"/>
                <w:bCs w:val="0"/>
                <w:color w:val="auto"/>
                <w:sz w:val="24"/>
                <w:highlight w:val="none"/>
              </w:rPr>
              <w:t>。注：《计算机软件著作权证书》生效日期须在本项目投标截止之日前，否则不予计分）</w:t>
            </w:r>
          </w:p>
        </w:tc>
      </w:tr>
      <w:tr w14:paraId="1CBDF6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666822">
            <w:pPr>
              <w:widowControl/>
              <w:wordWrap w:val="0"/>
              <w:spacing w:line="480" w:lineRule="atLeast"/>
              <w:jc w:val="center"/>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3、</w:t>
            </w:r>
            <w:r>
              <w:rPr>
                <w:rFonts w:hint="eastAsia" w:ascii="宋体" w:hAnsi="宋体" w:eastAsia="宋体" w:cs="宋体"/>
                <w:b w:val="0"/>
                <w:bCs w:val="0"/>
                <w:color w:val="auto"/>
                <w:sz w:val="24"/>
                <w:highlight w:val="none"/>
              </w:rPr>
              <w:t>外来人员入监核验</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849B62">
            <w:pPr>
              <w:widowControl/>
              <w:wordWrap w:val="0"/>
              <w:spacing w:line="480" w:lineRule="atLeast"/>
              <w:jc w:val="righ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2</w:t>
            </w:r>
            <w:r>
              <w:rPr>
                <w:rFonts w:hint="eastAsia" w:ascii="宋体" w:hAnsi="宋体" w:eastAsia="宋体" w:cs="宋体"/>
                <w:b w:val="0"/>
                <w:bCs w:val="0"/>
                <w:color w:val="auto"/>
                <w:kern w:val="0"/>
                <w:sz w:val="24"/>
                <w:highlight w:val="none"/>
              </w:rPr>
              <w:t>.0000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F841EB">
            <w:pPr>
              <w:widowControl/>
              <w:wordWrap w:val="0"/>
              <w:spacing w:line="480" w:lineRule="atLeast"/>
              <w:jc w:val="left"/>
              <w:rPr>
                <w:rFonts w:hint="eastAsia" w:ascii="宋体" w:hAnsi="宋体" w:cs="宋体" w:eastAsiaTheme="minorEastAsia"/>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投标人提供所投产品“</w:t>
            </w:r>
            <w:r>
              <w:rPr>
                <w:rFonts w:hint="eastAsia" w:ascii="宋体" w:hAnsi="宋体" w:eastAsia="宋体" w:cs="宋体"/>
                <w:b w:val="0"/>
                <w:bCs w:val="0"/>
                <w:color w:val="auto"/>
                <w:sz w:val="24"/>
                <w:highlight w:val="none"/>
              </w:rPr>
              <w:t>外来人员入监核验</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的</w:t>
            </w:r>
            <w:r>
              <w:rPr>
                <w:rFonts w:hint="eastAsia" w:ascii="宋体" w:hAnsi="宋体" w:cs="宋体"/>
                <w:b w:val="0"/>
                <w:bCs w:val="0"/>
                <w:color w:val="auto"/>
                <w:sz w:val="24"/>
                <w:szCs w:val="24"/>
                <w:highlight w:val="none"/>
              </w:rPr>
              <w:t>外协人员自助终端核验办理操作流程图，并提供操作流程说明、界面截图或设计图2张及以上</w:t>
            </w:r>
            <w:r>
              <w:rPr>
                <w:rFonts w:hint="eastAsia" w:ascii="宋体" w:hAnsi="宋体" w:cs="宋体"/>
                <w:b w:val="0"/>
                <w:bCs w:val="0"/>
                <w:color w:val="auto"/>
                <w:sz w:val="24"/>
                <w:szCs w:val="24"/>
                <w:highlight w:val="none"/>
                <w:lang w:val="en-US" w:eastAsia="zh-CN"/>
              </w:rPr>
              <w:t>的得2分，否则不得分。</w:t>
            </w:r>
            <w:r>
              <w:rPr>
                <w:rFonts w:hint="eastAsia" w:ascii="宋体" w:hAnsi="宋体" w:cs="宋体"/>
                <w:b w:val="0"/>
                <w:bCs w:val="0"/>
                <w:color w:val="auto"/>
                <w:sz w:val="24"/>
                <w:szCs w:val="24"/>
                <w:highlight w:val="none"/>
              </w:rPr>
              <w:t>注：</w:t>
            </w:r>
            <w:r>
              <w:rPr>
                <w:rFonts w:hint="eastAsia" w:ascii="宋体" w:hAnsi="宋体" w:cs="宋体"/>
                <w:b w:val="0"/>
                <w:bCs w:val="0"/>
                <w:color w:val="auto"/>
                <w:kern w:val="0"/>
                <w:sz w:val="24"/>
                <w:szCs w:val="24"/>
                <w:highlight w:val="none"/>
              </w:rPr>
              <w:t>①</w:t>
            </w:r>
            <w:r>
              <w:rPr>
                <w:rFonts w:hint="eastAsia" w:ascii="宋体" w:hAnsi="宋体" w:cs="宋体"/>
                <w:b w:val="0"/>
                <w:bCs w:val="0"/>
                <w:color w:val="auto"/>
                <w:sz w:val="24"/>
                <w:szCs w:val="24"/>
                <w:highlight w:val="none"/>
              </w:rPr>
              <w:t>流程图图形需使用标准化符号，如开始/结束、处理步骤、决策点、输入输出等。需统一颜色和字号，每个流程有开始和结束、流程图应从左端或上端注入，从右端或下端流出，同时需注明各操作角色。使用箭头和连接线来指示流程的方向和顺序；②操作流程说明需包括操作地点、操作角色、操作方式</w:t>
            </w:r>
            <w:r>
              <w:rPr>
                <w:rFonts w:hint="eastAsia" w:ascii="宋体" w:hAnsi="宋体" w:cs="宋体"/>
                <w:b w:val="0"/>
                <w:bCs w:val="0"/>
                <w:color w:val="auto"/>
                <w:sz w:val="24"/>
                <w:szCs w:val="24"/>
                <w:highlight w:val="none"/>
                <w:lang w:eastAsia="zh-CN"/>
              </w:rPr>
              <w:t>。</w:t>
            </w:r>
          </w:p>
        </w:tc>
      </w:tr>
      <w:tr w14:paraId="662CA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1091E7">
            <w:pPr>
              <w:widowControl/>
              <w:wordWrap w:val="0"/>
              <w:spacing w:line="480" w:lineRule="atLeast"/>
              <w:jc w:val="center"/>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外协工具核验</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33A8D42">
            <w:pPr>
              <w:widowControl/>
              <w:wordWrap w:val="0"/>
              <w:spacing w:line="480" w:lineRule="atLeast"/>
              <w:jc w:val="righ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2</w:t>
            </w:r>
            <w:r>
              <w:rPr>
                <w:rFonts w:hint="eastAsia" w:ascii="宋体" w:hAnsi="宋体" w:eastAsia="宋体" w:cs="宋体"/>
                <w:b w:val="0"/>
                <w:bCs w:val="0"/>
                <w:color w:val="auto"/>
                <w:kern w:val="0"/>
                <w:sz w:val="24"/>
                <w:highlight w:val="none"/>
              </w:rPr>
              <w:t>.0000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8D8A6C">
            <w:pPr>
              <w:widowControl/>
              <w:wordWrap w:val="0"/>
              <w:spacing w:line="480" w:lineRule="atLeast"/>
              <w:jc w:val="left"/>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投标人提供所投产品“</w:t>
            </w:r>
            <w:r>
              <w:rPr>
                <w:rFonts w:hint="eastAsia" w:ascii="宋体" w:hAnsi="宋体" w:eastAsia="宋体" w:cs="宋体"/>
                <w:b w:val="0"/>
                <w:bCs w:val="0"/>
                <w:color w:val="auto"/>
                <w:sz w:val="24"/>
                <w:highlight w:val="none"/>
              </w:rPr>
              <w:t>外协工具核验</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的</w:t>
            </w:r>
            <w:r>
              <w:rPr>
                <w:rFonts w:hint="eastAsia" w:ascii="宋体" w:hAnsi="宋体" w:eastAsia="宋体" w:cs="宋体"/>
                <w:b w:val="0"/>
                <w:bCs w:val="0"/>
                <w:color w:val="auto"/>
                <w:sz w:val="24"/>
                <w:highlight w:val="none"/>
              </w:rPr>
              <w:t>物品核验管理终端，物品及工具核验操作流程图，提供操作流程说明、界面截图或设计图2张及以上</w:t>
            </w:r>
            <w:r>
              <w:rPr>
                <w:rFonts w:hint="eastAsia" w:ascii="宋体" w:hAnsi="宋体" w:cs="宋体"/>
                <w:b w:val="0"/>
                <w:bCs w:val="0"/>
                <w:color w:val="auto"/>
                <w:sz w:val="24"/>
                <w:szCs w:val="24"/>
                <w:highlight w:val="none"/>
                <w:lang w:val="en-US" w:eastAsia="zh-CN"/>
              </w:rPr>
              <w:t>的得2分，否则不得分。</w:t>
            </w:r>
            <w:r>
              <w:rPr>
                <w:rFonts w:hint="eastAsia" w:ascii="宋体" w:hAnsi="宋体" w:cs="宋体"/>
                <w:b w:val="0"/>
                <w:bCs w:val="0"/>
                <w:color w:val="auto"/>
                <w:sz w:val="24"/>
                <w:highlight w:val="none"/>
              </w:rPr>
              <w:t>注：</w:t>
            </w:r>
            <w:r>
              <w:rPr>
                <w:rFonts w:hint="eastAsia" w:ascii="宋体" w:hAnsi="宋体" w:eastAsia="宋体" w:cs="宋体"/>
                <w:b w:val="0"/>
                <w:bCs w:val="0"/>
                <w:color w:val="auto"/>
                <w:kern w:val="0"/>
                <w:sz w:val="24"/>
                <w:highlight w:val="none"/>
              </w:rPr>
              <w:t>①</w:t>
            </w:r>
            <w:r>
              <w:rPr>
                <w:rFonts w:hint="eastAsia" w:ascii="宋体" w:hAnsi="宋体" w:cs="宋体"/>
                <w:b w:val="0"/>
                <w:bCs w:val="0"/>
                <w:color w:val="auto"/>
                <w:sz w:val="24"/>
                <w:highlight w:val="none"/>
              </w:rPr>
              <w:t>流程图图形需使用标准化符号，如开始/结束、处理步骤、决策点、输入输出等。需统一颜色和字号，每个流程有开始和结束、流程图应从左端或上端注入，从右端或下端流出，同时需注明各操作角色。使用箭头和连接线来指示流程的方向和顺序；</w:t>
            </w:r>
            <w:r>
              <w:rPr>
                <w:rFonts w:hint="eastAsia" w:ascii="宋体" w:hAnsi="宋体" w:eastAsia="宋体" w:cs="宋体"/>
                <w:b w:val="0"/>
                <w:bCs w:val="0"/>
                <w:color w:val="auto"/>
                <w:sz w:val="24"/>
                <w:highlight w:val="none"/>
              </w:rPr>
              <w:t>②</w:t>
            </w:r>
            <w:r>
              <w:rPr>
                <w:rFonts w:hint="eastAsia" w:ascii="宋体" w:hAnsi="宋体" w:cs="宋体"/>
                <w:b w:val="0"/>
                <w:bCs w:val="0"/>
                <w:color w:val="auto"/>
                <w:sz w:val="24"/>
                <w:highlight w:val="none"/>
              </w:rPr>
              <w:t>操作流程说明需包括操作地点、操作角色、操作方式</w:t>
            </w:r>
            <w:r>
              <w:rPr>
                <w:rFonts w:hint="eastAsia" w:ascii="宋体" w:hAnsi="宋体" w:cs="宋体"/>
                <w:b w:val="0"/>
                <w:bCs w:val="0"/>
                <w:color w:val="auto"/>
                <w:sz w:val="24"/>
                <w:highlight w:val="none"/>
                <w:lang w:val="en-US" w:eastAsia="zh-CN"/>
              </w:rPr>
              <w:t>。</w:t>
            </w:r>
          </w:p>
        </w:tc>
      </w:tr>
      <w:tr w14:paraId="7D0511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921459">
            <w:pPr>
              <w:widowControl/>
              <w:wordWrap w:val="0"/>
              <w:spacing w:line="480" w:lineRule="atLeast"/>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外协工具核销</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E81F8F">
            <w:pPr>
              <w:widowControl/>
              <w:wordWrap w:val="0"/>
              <w:spacing w:line="480" w:lineRule="atLeast"/>
              <w:jc w:val="right"/>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2</w:t>
            </w:r>
            <w:r>
              <w:rPr>
                <w:rFonts w:hint="eastAsia" w:ascii="宋体" w:hAnsi="宋体" w:eastAsia="宋体" w:cs="宋体"/>
                <w:b w:val="0"/>
                <w:bCs w:val="0"/>
                <w:color w:val="auto"/>
                <w:kern w:val="0"/>
                <w:sz w:val="24"/>
                <w:highlight w:val="none"/>
              </w:rPr>
              <w:t>.0000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57ED47">
            <w:pPr>
              <w:widowControl/>
              <w:wordWrap w:val="0"/>
              <w:spacing w:line="480" w:lineRule="atLeast"/>
              <w:jc w:val="left"/>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投标人提供所投产品“</w:t>
            </w:r>
            <w:r>
              <w:rPr>
                <w:rFonts w:hint="eastAsia" w:ascii="宋体" w:hAnsi="宋体" w:eastAsia="宋体" w:cs="宋体"/>
                <w:b w:val="0"/>
                <w:bCs w:val="0"/>
                <w:color w:val="auto"/>
                <w:sz w:val="24"/>
                <w:highlight w:val="none"/>
              </w:rPr>
              <w:t>外协工具核销</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具有</w:t>
            </w:r>
            <w:r>
              <w:rPr>
                <w:rFonts w:hint="eastAsia" w:ascii="宋体" w:hAnsi="宋体" w:eastAsia="宋体" w:cs="宋体"/>
                <w:b w:val="0"/>
                <w:bCs w:val="0"/>
                <w:color w:val="auto"/>
                <w:sz w:val="24"/>
                <w:highlight w:val="none"/>
                <w:lang w:eastAsia="zh-CN"/>
              </w:rPr>
              <w:t>外协人员出监时通过物品核验管理终端刷身份证或人脸识别调取工具清单，通过逐一盘点核对核销带出工具，确认提交形成工具完成进出闭环记录，实现后续查看回溯</w:t>
            </w:r>
            <w:r>
              <w:rPr>
                <w:rFonts w:hint="eastAsia" w:ascii="宋体" w:hAnsi="宋体" w:cs="宋体"/>
                <w:b w:val="0"/>
                <w:bCs w:val="0"/>
                <w:color w:val="auto"/>
                <w:sz w:val="24"/>
                <w:szCs w:val="24"/>
                <w:highlight w:val="none"/>
                <w:lang w:val="en-US" w:eastAsia="zh-CN"/>
              </w:rPr>
              <w:t>的得2分，否则不得分。</w:t>
            </w:r>
            <w:r>
              <w:rPr>
                <w:rFonts w:hint="eastAsia" w:ascii="宋体" w:hAnsi="宋体" w:eastAsia="宋体" w:cs="宋体"/>
                <w:b w:val="0"/>
                <w:bCs w:val="0"/>
                <w:color w:val="auto"/>
                <w:kern w:val="0"/>
                <w:sz w:val="24"/>
                <w:highlight w:val="none"/>
                <w:lang w:val="en-US" w:eastAsia="zh-CN"/>
              </w:rPr>
              <w:t>需提供</w:t>
            </w:r>
            <w:r>
              <w:rPr>
                <w:rFonts w:hint="eastAsia" w:ascii="宋体" w:hAnsi="宋体" w:eastAsia="宋体" w:cs="宋体"/>
                <w:b w:val="0"/>
                <w:bCs w:val="0"/>
                <w:color w:val="auto"/>
                <w:sz w:val="24"/>
                <w:highlight w:val="none"/>
                <w:lang w:eastAsia="zh-CN"/>
              </w:rPr>
              <w:t>调取工具清单</w:t>
            </w:r>
            <w:r>
              <w:rPr>
                <w:rFonts w:hint="eastAsia" w:ascii="宋体" w:hAnsi="宋体" w:eastAsia="宋体" w:cs="宋体"/>
                <w:b w:val="0"/>
                <w:bCs w:val="0"/>
                <w:color w:val="auto"/>
                <w:sz w:val="24"/>
                <w:highlight w:val="none"/>
              </w:rPr>
              <w:t>界面截图</w:t>
            </w:r>
            <w:r>
              <w:rPr>
                <w:rFonts w:hint="eastAsia" w:ascii="宋体" w:hAnsi="宋体" w:eastAsia="宋体" w:cs="宋体"/>
                <w:b w:val="0"/>
                <w:bCs w:val="0"/>
                <w:color w:val="auto"/>
                <w:sz w:val="24"/>
                <w:highlight w:val="none"/>
                <w:lang w:eastAsia="zh-CN"/>
              </w:rPr>
              <w:t>、核销带出工具</w:t>
            </w:r>
            <w:r>
              <w:rPr>
                <w:rFonts w:hint="eastAsia" w:ascii="宋体" w:hAnsi="宋体" w:eastAsia="宋体" w:cs="宋体"/>
                <w:b w:val="0"/>
                <w:bCs w:val="0"/>
                <w:color w:val="auto"/>
                <w:sz w:val="24"/>
                <w:highlight w:val="none"/>
              </w:rPr>
              <w:t>界面截图</w:t>
            </w:r>
            <w:r>
              <w:rPr>
                <w:rFonts w:hint="eastAsia" w:ascii="宋体" w:hAnsi="宋体" w:cs="宋体"/>
                <w:b w:val="0"/>
                <w:bCs w:val="0"/>
                <w:color w:val="auto"/>
                <w:sz w:val="24"/>
                <w:szCs w:val="24"/>
                <w:highlight w:val="none"/>
                <w:lang w:val="en-US" w:eastAsia="zh-CN"/>
              </w:rPr>
              <w:t>。</w:t>
            </w:r>
          </w:p>
        </w:tc>
      </w:tr>
      <w:tr w14:paraId="4B51AF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F7BC85">
            <w:pPr>
              <w:widowControl/>
              <w:wordWrap w:val="0"/>
              <w:spacing w:line="480" w:lineRule="atLeast"/>
              <w:jc w:val="center"/>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刑释外出管理</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D08969B">
            <w:pPr>
              <w:widowControl/>
              <w:wordWrap w:val="0"/>
              <w:spacing w:line="480" w:lineRule="atLeast"/>
              <w:jc w:val="righ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3</w:t>
            </w:r>
            <w:r>
              <w:rPr>
                <w:rFonts w:hint="eastAsia" w:ascii="宋体" w:hAnsi="宋体" w:eastAsia="宋体" w:cs="宋体"/>
                <w:b w:val="0"/>
                <w:bCs w:val="0"/>
                <w:color w:val="auto"/>
                <w:kern w:val="0"/>
                <w:sz w:val="24"/>
                <w:highlight w:val="none"/>
              </w:rPr>
              <w:t>.0000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C5DF7D">
            <w:pPr>
              <w:widowControl/>
              <w:wordWrap w:val="0"/>
              <w:spacing w:line="480" w:lineRule="atLeast"/>
              <w:jc w:val="left"/>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投标人所投产品“</w:t>
            </w:r>
            <w:r>
              <w:rPr>
                <w:rFonts w:hint="eastAsia" w:ascii="宋体" w:hAnsi="宋体" w:eastAsia="宋体" w:cs="宋体"/>
                <w:b w:val="0"/>
                <w:bCs w:val="0"/>
                <w:color w:val="auto"/>
                <w:sz w:val="24"/>
                <w:highlight w:val="none"/>
              </w:rPr>
              <w:t>刑释外出管理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具有</w:t>
            </w:r>
            <w:r>
              <w:rPr>
                <w:rFonts w:hint="eastAsia" w:ascii="宋体" w:hAnsi="宋体" w:eastAsia="宋体" w:cs="宋体"/>
                <w:b w:val="0"/>
                <w:bCs w:val="0"/>
                <w:color w:val="auto"/>
                <w:sz w:val="24"/>
                <w:highlight w:val="none"/>
              </w:rPr>
              <w:t>与刑释或人员外出核验相关系统的软件著作权证书</w:t>
            </w:r>
            <w:r>
              <w:rPr>
                <w:rFonts w:hint="eastAsia" w:ascii="宋体" w:hAnsi="宋体" w:eastAsia="宋体" w:cs="宋体"/>
                <w:b w:val="0"/>
                <w:bCs w:val="0"/>
                <w:color w:val="auto"/>
                <w:sz w:val="24"/>
                <w:highlight w:val="none"/>
                <w:lang w:val="en-US" w:eastAsia="zh-CN"/>
              </w:rPr>
              <w:t>的得3分</w:t>
            </w:r>
            <w:r>
              <w:rPr>
                <w:rFonts w:hint="eastAsia" w:ascii="宋体" w:hAnsi="宋体" w:eastAsia="宋体" w:cs="宋体"/>
                <w:b w:val="0"/>
                <w:bCs w:val="0"/>
                <w:color w:val="auto"/>
                <w:sz w:val="24"/>
                <w:highlight w:val="none"/>
              </w:rPr>
              <w:t>。须提供国家版权局颁发的《计算机软件著作权证书》复印件，否则不得分</w:t>
            </w:r>
            <w:r>
              <w:rPr>
                <w:rFonts w:hint="eastAsia" w:ascii="宋体" w:hAnsi="宋体" w:cs="宋体"/>
                <w:b w:val="0"/>
                <w:bCs w:val="0"/>
                <w:color w:val="auto"/>
                <w:sz w:val="24"/>
                <w:highlight w:val="none"/>
              </w:rPr>
              <w:t>，需提供原件备查</w:t>
            </w:r>
            <w:r>
              <w:rPr>
                <w:rFonts w:hint="eastAsia" w:ascii="宋体" w:hAnsi="宋体" w:eastAsia="宋体" w:cs="宋体"/>
                <w:b w:val="0"/>
                <w:bCs w:val="0"/>
                <w:color w:val="auto"/>
                <w:sz w:val="24"/>
                <w:highlight w:val="none"/>
              </w:rPr>
              <w:t>。注：《计算机软件著作权证书》生效日期须在本项目投标截止之日前，否则不予计分</w:t>
            </w:r>
            <w:r>
              <w:rPr>
                <w:rFonts w:hint="eastAsia" w:ascii="宋体" w:hAnsi="宋体" w:eastAsia="宋体" w:cs="宋体"/>
                <w:b w:val="0"/>
                <w:bCs w:val="0"/>
                <w:color w:val="auto"/>
                <w:sz w:val="24"/>
                <w:highlight w:val="none"/>
                <w:lang w:eastAsia="zh-CN"/>
              </w:rPr>
              <w:t>。</w:t>
            </w:r>
          </w:p>
        </w:tc>
      </w:tr>
      <w:tr w14:paraId="2B9212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F7F9B6">
            <w:pPr>
              <w:widowControl/>
              <w:wordWrap w:val="0"/>
              <w:spacing w:line="480" w:lineRule="atLeast"/>
              <w:jc w:val="center"/>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零星外出管理</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60B82E">
            <w:pPr>
              <w:widowControl/>
              <w:wordWrap w:val="0"/>
              <w:spacing w:line="480" w:lineRule="atLeast"/>
              <w:jc w:val="righ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2</w:t>
            </w:r>
            <w:r>
              <w:rPr>
                <w:rFonts w:hint="eastAsia" w:ascii="宋体" w:hAnsi="宋体" w:eastAsia="宋体" w:cs="宋体"/>
                <w:b w:val="0"/>
                <w:bCs w:val="0"/>
                <w:color w:val="auto"/>
                <w:kern w:val="0"/>
                <w:sz w:val="24"/>
                <w:highlight w:val="none"/>
              </w:rPr>
              <w:t>.0000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AFB065">
            <w:pPr>
              <w:widowControl/>
              <w:wordWrap w:val="0"/>
              <w:spacing w:line="480" w:lineRule="atLeast"/>
              <w:jc w:val="left"/>
              <w:rPr>
                <w:rFonts w:hint="eastAsia" w:ascii="宋体" w:hAnsi="宋体" w:cs="宋体" w:eastAsiaTheme="minorEastAsia"/>
                <w:b w:val="0"/>
                <w:bCs w:val="0"/>
                <w:color w:val="auto"/>
                <w:kern w:val="0"/>
                <w:sz w:val="24"/>
                <w:highlight w:val="none"/>
                <w:lang w:eastAsia="zh-CN"/>
              </w:rPr>
            </w:pPr>
            <w:r>
              <w:rPr>
                <w:rFonts w:hint="eastAsia" w:ascii="宋体" w:hAnsi="宋体" w:eastAsia="宋体" w:cs="宋体"/>
                <w:b w:val="0"/>
                <w:bCs w:val="0"/>
                <w:color w:val="auto"/>
                <w:kern w:val="0"/>
                <w:sz w:val="24"/>
                <w:highlight w:val="none"/>
                <w:lang w:val="en-US" w:eastAsia="zh-CN"/>
              </w:rPr>
              <w:t>投标人提供所投产品“</w:t>
            </w:r>
            <w:r>
              <w:rPr>
                <w:rFonts w:hint="eastAsia" w:ascii="宋体" w:hAnsi="宋体" w:eastAsia="宋体" w:cs="宋体"/>
                <w:b w:val="0"/>
                <w:bCs w:val="0"/>
                <w:color w:val="auto"/>
                <w:sz w:val="24"/>
                <w:highlight w:val="none"/>
              </w:rPr>
              <w:t>零星外出管理</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的</w:t>
            </w:r>
            <w:r>
              <w:rPr>
                <w:rFonts w:hint="eastAsia" w:ascii="宋体" w:hAnsi="宋体" w:eastAsia="宋体" w:cs="宋体"/>
                <w:b w:val="0"/>
                <w:bCs w:val="0"/>
                <w:color w:val="auto"/>
                <w:sz w:val="24"/>
                <w:highlight w:val="none"/>
              </w:rPr>
              <w:t>零星外出出监核验业务流程图</w:t>
            </w:r>
            <w:r>
              <w:rPr>
                <w:rFonts w:hint="eastAsia" w:ascii="宋体" w:hAnsi="宋体" w:eastAsia="宋体" w:cs="宋体"/>
                <w:b w:val="0"/>
                <w:bCs w:val="0"/>
                <w:color w:val="auto"/>
                <w:sz w:val="24"/>
                <w:highlight w:val="none"/>
                <w:lang w:val="en-US" w:eastAsia="zh-CN"/>
              </w:rPr>
              <w:t>的得2分</w:t>
            </w:r>
            <w:r>
              <w:rPr>
                <w:rFonts w:hint="eastAsia" w:ascii="宋体" w:hAnsi="宋体" w:eastAsia="宋体" w:cs="宋体"/>
                <w:b w:val="0"/>
                <w:bCs w:val="0"/>
                <w:color w:val="auto"/>
                <w:sz w:val="24"/>
                <w:highlight w:val="none"/>
              </w:rPr>
              <w:t>，需详细注明各操作角色，各节点流向</w:t>
            </w:r>
            <w:r>
              <w:rPr>
                <w:rFonts w:hint="eastAsia" w:ascii="宋体" w:hAnsi="宋体" w:cs="宋体"/>
                <w:b w:val="0"/>
                <w:bCs w:val="0"/>
                <w:color w:val="auto"/>
                <w:sz w:val="24"/>
                <w:highlight w:val="none"/>
              </w:rPr>
              <w:t>，不满足不得分</w:t>
            </w:r>
            <w:r>
              <w:rPr>
                <w:rFonts w:hint="eastAsia" w:ascii="宋体" w:hAnsi="宋体" w:eastAsia="宋体" w:cs="宋体"/>
                <w:b w:val="0"/>
                <w:bCs w:val="0"/>
                <w:color w:val="auto"/>
                <w:sz w:val="24"/>
                <w:highlight w:val="none"/>
              </w:rPr>
              <w:t>。</w:t>
            </w:r>
            <w:r>
              <w:rPr>
                <w:rFonts w:hint="eastAsia" w:ascii="宋体" w:hAnsi="宋体" w:cs="宋体"/>
                <w:b w:val="0"/>
                <w:bCs w:val="0"/>
                <w:color w:val="auto"/>
                <w:sz w:val="24"/>
                <w:highlight w:val="none"/>
              </w:rPr>
              <w:t>注：流程图图形需使用标准化符号，如开始/结束、处理步骤、决策点、输入输出等。需统一颜色和字号，每个流程有开始和结束、流程图应从左端或上端注入，从右端或下端流出，同时需注明各操作角色。使用箭头和连接线来指示流程的方向和顺序</w:t>
            </w:r>
            <w:r>
              <w:rPr>
                <w:rFonts w:hint="eastAsia" w:ascii="宋体" w:hAnsi="宋体" w:eastAsia="宋体" w:cs="宋体"/>
                <w:b w:val="0"/>
                <w:bCs w:val="0"/>
                <w:color w:val="auto"/>
                <w:sz w:val="24"/>
                <w:highlight w:val="none"/>
                <w:lang w:eastAsia="zh-CN"/>
              </w:rPr>
              <w:t>。</w:t>
            </w:r>
          </w:p>
        </w:tc>
      </w:tr>
      <w:tr w14:paraId="2DF199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B77B25">
            <w:pPr>
              <w:widowControl/>
              <w:wordWrap w:val="0"/>
              <w:spacing w:line="480" w:lineRule="atLeast"/>
              <w:jc w:val="center"/>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sz w:val="24"/>
                <w:highlight w:val="none"/>
                <w:lang w:val="en-US" w:eastAsia="zh-CN"/>
              </w:rPr>
              <w:t>8、</w:t>
            </w:r>
            <w:r>
              <w:rPr>
                <w:rFonts w:hint="eastAsia" w:ascii="宋体" w:hAnsi="宋体" w:eastAsia="宋体" w:cs="宋体"/>
                <w:b w:val="0"/>
                <w:bCs w:val="0"/>
                <w:color w:val="auto"/>
                <w:sz w:val="24"/>
                <w:highlight w:val="none"/>
              </w:rPr>
              <w:t>零星外出核验</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41A7B02">
            <w:pPr>
              <w:widowControl/>
              <w:wordWrap w:val="0"/>
              <w:spacing w:line="480" w:lineRule="atLeast"/>
              <w:jc w:val="righ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3</w:t>
            </w:r>
            <w:r>
              <w:rPr>
                <w:rFonts w:hint="eastAsia" w:ascii="宋体" w:hAnsi="宋体" w:eastAsia="宋体" w:cs="宋体"/>
                <w:b w:val="0"/>
                <w:bCs w:val="0"/>
                <w:color w:val="auto"/>
                <w:kern w:val="0"/>
                <w:sz w:val="24"/>
                <w:highlight w:val="none"/>
              </w:rPr>
              <w:t>.0000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B98F5D">
            <w:pPr>
              <w:widowControl/>
              <w:wordWrap w:val="0"/>
              <w:spacing w:line="480" w:lineRule="atLeast"/>
              <w:jc w:val="left"/>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kern w:val="0"/>
                <w:sz w:val="24"/>
                <w:highlight w:val="none"/>
                <w:lang w:val="en-US" w:eastAsia="zh-CN"/>
              </w:rPr>
              <w:t>投标人所投产品“</w:t>
            </w:r>
            <w:r>
              <w:rPr>
                <w:rFonts w:hint="eastAsia" w:ascii="宋体" w:hAnsi="宋体" w:eastAsia="宋体" w:cs="宋体"/>
                <w:b w:val="0"/>
                <w:bCs w:val="0"/>
                <w:color w:val="auto"/>
                <w:sz w:val="24"/>
                <w:highlight w:val="none"/>
              </w:rPr>
              <w:t>零星外出核验</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rPr>
              <w:t>具有与零星外出管控相关系统的软件著作权证书</w:t>
            </w:r>
            <w:r>
              <w:rPr>
                <w:rFonts w:hint="eastAsia" w:ascii="宋体" w:hAnsi="宋体" w:eastAsia="宋体" w:cs="宋体"/>
                <w:b w:val="0"/>
                <w:bCs w:val="0"/>
                <w:color w:val="auto"/>
                <w:kern w:val="0"/>
                <w:sz w:val="24"/>
                <w:highlight w:val="none"/>
                <w:lang w:val="en-US" w:eastAsia="zh-CN"/>
              </w:rPr>
              <w:t>的得3分</w:t>
            </w:r>
            <w:r>
              <w:rPr>
                <w:rFonts w:hint="eastAsia" w:ascii="宋体" w:hAnsi="宋体" w:eastAsia="宋体" w:cs="宋体"/>
                <w:b w:val="0"/>
                <w:bCs w:val="0"/>
                <w:color w:val="auto"/>
                <w:kern w:val="0"/>
                <w:sz w:val="24"/>
                <w:highlight w:val="none"/>
              </w:rPr>
              <w:t>。</w:t>
            </w:r>
            <w:r>
              <w:rPr>
                <w:rFonts w:hint="eastAsia" w:ascii="宋体" w:hAnsi="宋体" w:eastAsia="宋体" w:cs="宋体"/>
                <w:b w:val="0"/>
                <w:bCs w:val="0"/>
                <w:color w:val="auto"/>
                <w:sz w:val="24"/>
                <w:highlight w:val="none"/>
              </w:rPr>
              <w:t>须提供国家版权局颁发的《计算机软件著作权证书》复印件，否则不得分</w:t>
            </w:r>
            <w:r>
              <w:rPr>
                <w:rFonts w:hint="eastAsia" w:ascii="宋体" w:hAnsi="宋体" w:cs="宋体"/>
                <w:b w:val="0"/>
                <w:bCs w:val="0"/>
                <w:color w:val="auto"/>
                <w:sz w:val="24"/>
                <w:highlight w:val="none"/>
              </w:rPr>
              <w:t>，需提供原件备查</w:t>
            </w:r>
            <w:r>
              <w:rPr>
                <w:rFonts w:hint="eastAsia" w:ascii="宋体" w:hAnsi="宋体" w:eastAsia="宋体" w:cs="宋体"/>
                <w:b w:val="0"/>
                <w:bCs w:val="0"/>
                <w:color w:val="auto"/>
                <w:sz w:val="24"/>
                <w:highlight w:val="none"/>
              </w:rPr>
              <w:t>。注：《计算机软件著作权证书》生效日期须在本项目投标截止之日前，否则不予计分</w:t>
            </w:r>
            <w:r>
              <w:rPr>
                <w:rFonts w:hint="eastAsia" w:ascii="宋体" w:hAnsi="宋体" w:eastAsia="宋体" w:cs="宋体"/>
                <w:b w:val="0"/>
                <w:bCs w:val="0"/>
                <w:color w:val="auto"/>
                <w:sz w:val="24"/>
                <w:highlight w:val="none"/>
                <w:lang w:eastAsia="zh-CN"/>
              </w:rPr>
              <w:t>。</w:t>
            </w:r>
          </w:p>
        </w:tc>
      </w:tr>
      <w:tr w14:paraId="77884E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E973EB">
            <w:pPr>
              <w:widowControl/>
              <w:wordWrap w:val="0"/>
              <w:spacing w:line="480" w:lineRule="atLeast"/>
              <w:jc w:val="center"/>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9、</w:t>
            </w:r>
            <w:r>
              <w:rPr>
                <w:rFonts w:hint="eastAsia" w:ascii="宋体" w:hAnsi="宋体" w:eastAsia="宋体" w:cs="宋体"/>
                <w:b w:val="0"/>
                <w:bCs w:val="0"/>
                <w:color w:val="auto"/>
                <w:kern w:val="0"/>
                <w:sz w:val="24"/>
                <w:highlight w:val="none"/>
              </w:rPr>
              <w:t>外协自助终端</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D36B1F">
            <w:pPr>
              <w:widowControl/>
              <w:wordWrap w:val="0"/>
              <w:spacing w:line="480" w:lineRule="atLeast"/>
              <w:jc w:val="righ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3</w:t>
            </w:r>
            <w:r>
              <w:rPr>
                <w:rFonts w:hint="eastAsia" w:ascii="宋体" w:hAnsi="宋体" w:eastAsia="宋体" w:cs="宋体"/>
                <w:b w:val="0"/>
                <w:bCs w:val="0"/>
                <w:color w:val="auto"/>
                <w:kern w:val="0"/>
                <w:sz w:val="24"/>
                <w:highlight w:val="none"/>
              </w:rPr>
              <w:t>.0000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AB154C">
            <w:pPr>
              <w:widowControl/>
              <w:wordWrap w:val="0"/>
              <w:spacing w:line="480" w:lineRule="atLeast"/>
              <w:jc w:val="left"/>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投标人所投产品“</w:t>
            </w:r>
            <w:r>
              <w:rPr>
                <w:rFonts w:hint="eastAsia" w:ascii="宋体" w:hAnsi="宋体" w:eastAsia="宋体" w:cs="宋体"/>
                <w:b w:val="0"/>
                <w:bCs w:val="0"/>
                <w:color w:val="auto"/>
                <w:kern w:val="0"/>
                <w:sz w:val="24"/>
                <w:highlight w:val="none"/>
              </w:rPr>
              <w:t>外协自助终端</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sz w:val="24"/>
                <w:highlight w:val="none"/>
              </w:rPr>
              <w:t>具有与外协</w:t>
            </w:r>
            <w:r>
              <w:rPr>
                <w:rFonts w:ascii="宋体" w:hAnsi="宋体" w:eastAsia="宋体" w:cs="宋体"/>
                <w:b w:val="0"/>
                <w:bCs w:val="0"/>
                <w:color w:val="auto"/>
                <w:sz w:val="24"/>
                <w:highlight w:val="none"/>
              </w:rPr>
              <w:t>/外来自助终端相关APP类的软件著作权证书</w:t>
            </w:r>
            <w:r>
              <w:rPr>
                <w:rFonts w:hint="eastAsia" w:ascii="宋体" w:hAnsi="宋体" w:eastAsia="宋体" w:cs="宋体"/>
                <w:b w:val="0"/>
                <w:bCs w:val="0"/>
                <w:color w:val="auto"/>
                <w:sz w:val="24"/>
                <w:highlight w:val="none"/>
                <w:lang w:val="en-US" w:eastAsia="zh-CN"/>
              </w:rPr>
              <w:t>的得3分</w:t>
            </w:r>
            <w:r>
              <w:rPr>
                <w:rFonts w:ascii="宋体" w:hAnsi="宋体" w:eastAsia="宋体" w:cs="宋体"/>
                <w:b w:val="0"/>
                <w:bCs w:val="0"/>
                <w:color w:val="auto"/>
                <w:sz w:val="24"/>
                <w:highlight w:val="none"/>
              </w:rPr>
              <w:t>。须提供国家版权局颁发的《计算机软件著作权证书》复印件，否则不得分</w:t>
            </w:r>
            <w:r>
              <w:rPr>
                <w:rFonts w:hint="eastAsia" w:ascii="宋体" w:hAnsi="宋体" w:eastAsia="宋体" w:cs="宋体"/>
                <w:b w:val="0"/>
                <w:bCs w:val="0"/>
                <w:color w:val="auto"/>
                <w:sz w:val="24"/>
                <w:highlight w:val="none"/>
              </w:rPr>
              <w:t>，需提供原件备查。注：《计算机软件著作权证书》生效日期须在本项目投标截止之日前，否则不予计分</w:t>
            </w:r>
            <w:r>
              <w:rPr>
                <w:rFonts w:hint="eastAsia" w:ascii="宋体" w:hAnsi="宋体" w:eastAsia="宋体" w:cs="宋体"/>
                <w:b w:val="0"/>
                <w:bCs w:val="0"/>
                <w:color w:val="auto"/>
                <w:sz w:val="24"/>
                <w:highlight w:val="none"/>
                <w:lang w:eastAsia="zh-CN"/>
              </w:rPr>
              <w:t>。</w:t>
            </w:r>
          </w:p>
        </w:tc>
      </w:tr>
      <w:tr w14:paraId="13409A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EFBD2D">
            <w:pPr>
              <w:widowControl/>
              <w:wordWrap w:val="0"/>
              <w:spacing w:line="480" w:lineRule="atLeast"/>
              <w:jc w:val="center"/>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10、</w:t>
            </w:r>
            <w:r>
              <w:rPr>
                <w:rFonts w:hint="eastAsia" w:ascii="宋体" w:hAnsi="宋体" w:eastAsia="宋体" w:cs="宋体"/>
                <w:b w:val="0"/>
                <w:bCs w:val="0"/>
                <w:color w:val="auto"/>
                <w:kern w:val="0"/>
                <w:sz w:val="24"/>
                <w:highlight w:val="none"/>
              </w:rPr>
              <w:t>外协出监核验终端</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AC4FFF">
            <w:pPr>
              <w:widowControl/>
              <w:wordWrap w:val="0"/>
              <w:spacing w:line="480" w:lineRule="atLeast"/>
              <w:jc w:val="right"/>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2</w:t>
            </w:r>
            <w:r>
              <w:rPr>
                <w:rFonts w:hint="eastAsia" w:ascii="宋体" w:hAnsi="宋体" w:eastAsia="宋体" w:cs="宋体"/>
                <w:b w:val="0"/>
                <w:bCs w:val="0"/>
                <w:color w:val="auto"/>
                <w:kern w:val="0"/>
                <w:sz w:val="24"/>
                <w:highlight w:val="none"/>
              </w:rPr>
              <w:t>.0000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132CEC3">
            <w:pPr>
              <w:widowControl/>
              <w:wordWrap w:val="0"/>
              <w:spacing w:line="480" w:lineRule="atLeast"/>
              <w:jc w:val="left"/>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投标人所投产品“</w:t>
            </w:r>
            <w:r>
              <w:rPr>
                <w:rFonts w:hint="eastAsia" w:ascii="宋体" w:hAnsi="宋体" w:eastAsia="宋体" w:cs="宋体"/>
                <w:b w:val="0"/>
                <w:bCs w:val="0"/>
                <w:color w:val="auto"/>
                <w:kern w:val="0"/>
                <w:sz w:val="24"/>
                <w:highlight w:val="none"/>
              </w:rPr>
              <w:t>外协出监核验终端</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具有</w:t>
            </w:r>
            <w:r>
              <w:rPr>
                <w:rFonts w:hint="eastAsia" w:ascii="宋体" w:hAnsi="宋体" w:eastAsia="宋体" w:cs="宋体"/>
                <w:b w:val="0"/>
                <w:bCs w:val="0"/>
                <w:color w:val="auto"/>
                <w:sz w:val="24"/>
                <w:highlight w:val="none"/>
              </w:rPr>
              <w:t>软件功能包括：外协人员出监人脸识别核验</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跟带民警确认</w:t>
            </w:r>
            <w:r>
              <w:rPr>
                <w:rFonts w:hint="eastAsia" w:ascii="宋体" w:hAnsi="宋体" w:eastAsia="宋体" w:cs="宋体"/>
                <w:b w:val="0"/>
                <w:bCs w:val="0"/>
                <w:color w:val="auto"/>
                <w:sz w:val="24"/>
                <w:highlight w:val="none"/>
                <w:lang w:val="en-US" w:eastAsia="zh-CN"/>
              </w:rPr>
              <w:t>功能的得2分，否则不得分。注</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需</w:t>
            </w:r>
            <w:r>
              <w:rPr>
                <w:rFonts w:hint="eastAsia" w:ascii="宋体" w:hAnsi="宋体" w:eastAsia="宋体" w:cs="宋体"/>
                <w:b w:val="0"/>
                <w:bCs w:val="0"/>
                <w:color w:val="auto"/>
                <w:sz w:val="24"/>
                <w:highlight w:val="none"/>
              </w:rPr>
              <w:t>提供</w:t>
            </w:r>
            <w:r>
              <w:rPr>
                <w:rFonts w:hint="eastAsia" w:ascii="宋体" w:hAnsi="宋体" w:eastAsia="宋体" w:cs="宋体"/>
                <w:b w:val="0"/>
                <w:bCs w:val="0"/>
                <w:color w:val="auto"/>
                <w:sz w:val="24"/>
                <w:highlight w:val="none"/>
                <w:lang w:eastAsia="zh-CN"/>
              </w:rPr>
              <w:t>调取</w:t>
            </w:r>
            <w:r>
              <w:rPr>
                <w:rFonts w:hint="eastAsia" w:ascii="宋体" w:hAnsi="宋体" w:eastAsia="宋体" w:cs="宋体"/>
                <w:b w:val="0"/>
                <w:bCs w:val="0"/>
                <w:color w:val="auto"/>
                <w:sz w:val="24"/>
                <w:highlight w:val="none"/>
              </w:rPr>
              <w:t>外协人员出监人脸识别核验界面截图</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跟带民警确认界面截图</w:t>
            </w:r>
            <w:r>
              <w:rPr>
                <w:rFonts w:hint="eastAsia" w:ascii="宋体" w:hAnsi="宋体" w:eastAsia="宋体" w:cs="宋体"/>
                <w:b w:val="0"/>
                <w:bCs w:val="0"/>
                <w:color w:val="auto"/>
                <w:sz w:val="24"/>
                <w:highlight w:val="none"/>
                <w:lang w:eastAsia="zh-CN"/>
              </w:rPr>
              <w:t>。</w:t>
            </w:r>
          </w:p>
        </w:tc>
      </w:tr>
      <w:tr w14:paraId="07CBF1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B04BB9">
            <w:pPr>
              <w:widowControl/>
              <w:wordWrap w:val="0"/>
              <w:spacing w:line="480" w:lineRule="atLeast"/>
              <w:jc w:val="center"/>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11、</w:t>
            </w:r>
            <w:r>
              <w:rPr>
                <w:rFonts w:hint="eastAsia" w:ascii="宋体" w:hAnsi="宋体" w:eastAsia="宋体" w:cs="宋体"/>
                <w:b w:val="0"/>
                <w:bCs w:val="0"/>
                <w:color w:val="auto"/>
                <w:kern w:val="0"/>
                <w:sz w:val="24"/>
                <w:highlight w:val="none"/>
              </w:rPr>
              <w:t>刑释出监核验终端</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2B1EDDC">
            <w:pPr>
              <w:widowControl/>
              <w:wordWrap w:val="0"/>
              <w:spacing w:line="480" w:lineRule="atLeast"/>
              <w:jc w:val="righ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1</w:t>
            </w:r>
            <w:r>
              <w:rPr>
                <w:rFonts w:hint="eastAsia" w:ascii="宋体" w:hAnsi="宋体" w:eastAsia="宋体" w:cs="宋体"/>
                <w:b w:val="0"/>
                <w:bCs w:val="0"/>
                <w:color w:val="auto"/>
                <w:kern w:val="0"/>
                <w:sz w:val="24"/>
                <w:highlight w:val="none"/>
              </w:rPr>
              <w:t>.0000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5A88F6">
            <w:pPr>
              <w:widowControl/>
              <w:wordWrap w:val="0"/>
              <w:spacing w:line="480" w:lineRule="atLeast"/>
              <w:jc w:val="left"/>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投标人所投产品“</w:t>
            </w:r>
            <w:r>
              <w:rPr>
                <w:rFonts w:hint="eastAsia" w:ascii="宋体" w:hAnsi="宋体" w:eastAsia="宋体" w:cs="宋体"/>
                <w:b w:val="0"/>
                <w:bCs w:val="0"/>
                <w:color w:val="auto"/>
                <w:kern w:val="0"/>
                <w:sz w:val="24"/>
                <w:highlight w:val="none"/>
              </w:rPr>
              <w:t>刑释出监核验终端</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sz w:val="24"/>
                <w:highlight w:val="none"/>
              </w:rPr>
              <w:t>支持掌静脉核验，受静电放电及射频电磁环境干扰后，设备须保证能自行恢复正常</w:t>
            </w:r>
            <w:r>
              <w:rPr>
                <w:rFonts w:hint="eastAsia" w:ascii="宋体" w:hAnsi="宋体" w:eastAsia="宋体" w:cs="宋体"/>
                <w:b w:val="0"/>
                <w:bCs w:val="0"/>
                <w:color w:val="auto"/>
                <w:sz w:val="24"/>
                <w:highlight w:val="none"/>
                <w:lang w:val="en-US" w:eastAsia="zh-CN"/>
              </w:rPr>
              <w:t>的得1分，否则不得分</w:t>
            </w:r>
            <w:r>
              <w:rPr>
                <w:rFonts w:hint="eastAsia" w:ascii="宋体" w:hAnsi="宋体" w:eastAsia="宋体" w:cs="宋体"/>
                <w:b w:val="0"/>
                <w:bCs w:val="0"/>
                <w:color w:val="auto"/>
                <w:sz w:val="24"/>
                <w:highlight w:val="none"/>
              </w:rPr>
              <w:t>。需提供检测报告予以佐证，检测报告须带“CMA”或“CNAS”标识”</w:t>
            </w:r>
          </w:p>
        </w:tc>
      </w:tr>
      <w:tr w14:paraId="68F7E5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F4F59B">
            <w:pPr>
              <w:widowControl/>
              <w:wordWrap w:val="0"/>
              <w:spacing w:line="480" w:lineRule="atLeast"/>
              <w:jc w:val="center"/>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12、</w:t>
            </w:r>
            <w:r>
              <w:rPr>
                <w:rFonts w:hint="eastAsia" w:ascii="宋体" w:hAnsi="宋体" w:eastAsia="宋体" w:cs="宋体"/>
                <w:b w:val="0"/>
                <w:bCs w:val="0"/>
                <w:color w:val="auto"/>
                <w:kern w:val="0"/>
                <w:sz w:val="24"/>
                <w:highlight w:val="none"/>
              </w:rPr>
              <w:t>桌面掌静脉采集器</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7CF4B3D">
            <w:pPr>
              <w:widowControl/>
              <w:wordWrap w:val="0"/>
              <w:spacing w:line="480" w:lineRule="atLeast"/>
              <w:jc w:val="righ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1</w:t>
            </w:r>
            <w:r>
              <w:rPr>
                <w:rFonts w:hint="eastAsia" w:ascii="宋体" w:hAnsi="宋体" w:eastAsia="宋体" w:cs="宋体"/>
                <w:b w:val="0"/>
                <w:bCs w:val="0"/>
                <w:color w:val="auto"/>
                <w:kern w:val="0"/>
                <w:sz w:val="24"/>
                <w:highlight w:val="none"/>
              </w:rPr>
              <w:t>.0000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740954">
            <w:pPr>
              <w:widowControl/>
              <w:wordWrap w:val="0"/>
              <w:spacing w:line="480" w:lineRule="atLeast"/>
              <w:jc w:val="left"/>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投标人所投产品“</w:t>
            </w:r>
            <w:r>
              <w:rPr>
                <w:rFonts w:hint="eastAsia" w:ascii="宋体" w:hAnsi="宋体" w:eastAsia="宋体" w:cs="宋体"/>
                <w:b w:val="0"/>
                <w:bCs w:val="0"/>
                <w:color w:val="auto"/>
                <w:kern w:val="0"/>
                <w:sz w:val="24"/>
                <w:highlight w:val="none"/>
              </w:rPr>
              <w:t>桌面掌静脉采集器</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在</w:t>
            </w:r>
            <w:r>
              <w:rPr>
                <w:rFonts w:hint="eastAsia" w:ascii="宋体" w:hAnsi="宋体" w:eastAsia="宋体" w:cs="宋体"/>
                <w:b w:val="0"/>
                <w:bCs w:val="0"/>
                <w:color w:val="auto"/>
                <w:sz w:val="24"/>
                <w:highlight w:val="none"/>
              </w:rPr>
              <w:t>工作温度0℃-50℃，其中高温试验：+50℃±2℃、2h,低温试验0℃± 3℃、2h，恒定温热试验RH93%，温度40±2℃、48h，应能正常工作</w:t>
            </w:r>
            <w:r>
              <w:rPr>
                <w:rFonts w:hint="eastAsia" w:ascii="宋体" w:hAnsi="宋体" w:eastAsia="宋体" w:cs="宋体"/>
                <w:b w:val="0"/>
                <w:bCs w:val="0"/>
                <w:color w:val="auto"/>
                <w:sz w:val="24"/>
                <w:highlight w:val="none"/>
                <w:lang w:val="en-US" w:eastAsia="zh-CN"/>
              </w:rPr>
              <w:t>的得1分，否则不得分。</w:t>
            </w:r>
            <w:r>
              <w:rPr>
                <w:rFonts w:hint="eastAsia" w:ascii="宋体" w:hAnsi="宋体" w:eastAsia="宋体" w:cs="宋体"/>
                <w:b w:val="0"/>
                <w:bCs w:val="0"/>
                <w:color w:val="auto"/>
                <w:sz w:val="24"/>
                <w:highlight w:val="none"/>
              </w:rPr>
              <w:t>需提供检测报告予以佐证，检测报告须带“CMA”或“CNAS”标识”</w:t>
            </w:r>
            <w:r>
              <w:rPr>
                <w:rFonts w:hint="eastAsia" w:ascii="宋体" w:hAnsi="宋体" w:eastAsia="宋体" w:cs="宋体"/>
                <w:b w:val="0"/>
                <w:bCs w:val="0"/>
                <w:color w:val="auto"/>
                <w:sz w:val="24"/>
                <w:highlight w:val="none"/>
                <w:lang w:eastAsia="zh-CN"/>
              </w:rPr>
              <w:t>。</w:t>
            </w:r>
          </w:p>
        </w:tc>
      </w:tr>
      <w:tr w14:paraId="3D67B1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07BCE0A">
            <w:pPr>
              <w:widowControl/>
              <w:wordWrap w:val="0"/>
              <w:spacing w:line="480" w:lineRule="atLeast"/>
              <w:jc w:val="center"/>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13、</w:t>
            </w:r>
            <w:r>
              <w:rPr>
                <w:rFonts w:hint="eastAsia" w:ascii="宋体" w:hAnsi="宋体" w:eastAsia="宋体" w:cs="宋体"/>
                <w:b w:val="0"/>
                <w:bCs w:val="0"/>
                <w:color w:val="auto"/>
                <w:kern w:val="0"/>
                <w:sz w:val="24"/>
                <w:highlight w:val="none"/>
              </w:rPr>
              <w:t>车道管理终端</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2808E1F">
            <w:pPr>
              <w:widowControl/>
              <w:wordWrap w:val="0"/>
              <w:spacing w:line="480" w:lineRule="atLeast"/>
              <w:jc w:val="righ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2</w:t>
            </w:r>
            <w:r>
              <w:rPr>
                <w:rFonts w:hint="eastAsia" w:ascii="宋体" w:hAnsi="宋体" w:eastAsia="宋体" w:cs="宋体"/>
                <w:b w:val="0"/>
                <w:bCs w:val="0"/>
                <w:color w:val="auto"/>
                <w:kern w:val="0"/>
                <w:sz w:val="24"/>
                <w:highlight w:val="none"/>
              </w:rPr>
              <w:t>.0000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08C85F9">
            <w:pPr>
              <w:widowControl/>
              <w:wordWrap w:val="0"/>
              <w:spacing w:line="480" w:lineRule="atLeast"/>
              <w:jc w:val="left"/>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投标人提供所投产品“</w:t>
            </w:r>
            <w:r>
              <w:rPr>
                <w:rFonts w:hint="eastAsia" w:ascii="宋体" w:hAnsi="宋体" w:eastAsia="宋体" w:cs="宋体"/>
                <w:b w:val="0"/>
                <w:bCs w:val="0"/>
                <w:color w:val="auto"/>
                <w:kern w:val="0"/>
                <w:sz w:val="24"/>
                <w:highlight w:val="none"/>
              </w:rPr>
              <w:t>车道管理终端</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的</w:t>
            </w:r>
            <w:r>
              <w:rPr>
                <w:rFonts w:hint="eastAsia" w:ascii="宋体" w:hAnsi="宋体" w:eastAsia="宋体" w:cs="宋体"/>
                <w:b w:val="0"/>
                <w:bCs w:val="0"/>
                <w:color w:val="auto"/>
                <w:sz w:val="24"/>
                <w:highlight w:val="none"/>
              </w:rPr>
              <w:t>车道管理终端APP页面截图或设计图，并说明对应界面或设计图的主要功能</w:t>
            </w:r>
            <w:r>
              <w:rPr>
                <w:rFonts w:hint="eastAsia" w:ascii="宋体" w:hAnsi="宋体" w:eastAsia="宋体" w:cs="宋体"/>
                <w:b w:val="0"/>
                <w:bCs w:val="0"/>
                <w:color w:val="auto"/>
                <w:sz w:val="24"/>
                <w:highlight w:val="none"/>
                <w:lang w:val="en-US" w:eastAsia="zh-CN"/>
              </w:rPr>
              <w:t>的得2分</w:t>
            </w:r>
            <w:r>
              <w:rPr>
                <w:rFonts w:hint="eastAsia" w:ascii="宋体" w:hAnsi="宋体" w:cs="宋体"/>
                <w:b w:val="0"/>
                <w:bCs w:val="0"/>
                <w:color w:val="auto"/>
                <w:sz w:val="24"/>
                <w:szCs w:val="24"/>
                <w:highlight w:val="none"/>
                <w:lang w:val="en-US" w:eastAsia="zh-CN"/>
              </w:rPr>
              <w:t>，否则不得分。</w:t>
            </w:r>
            <w:r>
              <w:rPr>
                <w:rFonts w:hint="eastAsia" w:ascii="宋体" w:hAnsi="宋体" w:eastAsia="宋体" w:cs="宋体"/>
                <w:b w:val="0"/>
                <w:bCs w:val="0"/>
                <w:color w:val="auto"/>
                <w:sz w:val="24"/>
                <w:highlight w:val="none"/>
              </w:rPr>
              <w:t>注：界面或设计图的主要功能描述需针对哪些业务场景，针对管控对象进行说明，并简要说明界面呈现出哪些数据内容）</w:t>
            </w:r>
            <w:r>
              <w:rPr>
                <w:rFonts w:hint="eastAsia" w:ascii="宋体" w:hAnsi="宋体" w:eastAsia="宋体" w:cs="宋体"/>
                <w:b w:val="0"/>
                <w:bCs w:val="0"/>
                <w:color w:val="auto"/>
                <w:sz w:val="24"/>
                <w:highlight w:val="none"/>
                <w:lang w:eastAsia="zh-CN"/>
              </w:rPr>
              <w:t>。</w:t>
            </w:r>
          </w:p>
        </w:tc>
      </w:tr>
      <w:tr w14:paraId="23AF21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vMerge w:val="restart"/>
            <w:tcBorders>
              <w:top w:val="single" w:color="000000" w:sz="6" w:space="0"/>
              <w:left w:val="single" w:color="000000" w:sz="6" w:space="0"/>
              <w:right w:val="single" w:color="000000" w:sz="6" w:space="0"/>
            </w:tcBorders>
            <w:shd w:val="clear" w:color="auto" w:fill="auto"/>
            <w:tcMar>
              <w:left w:w="120" w:type="dxa"/>
              <w:right w:w="120" w:type="dxa"/>
            </w:tcMar>
            <w:vAlign w:val="center"/>
          </w:tcPr>
          <w:p w14:paraId="79B092ED">
            <w:pPr>
              <w:widowControl/>
              <w:wordWrap w:val="0"/>
              <w:spacing w:line="480" w:lineRule="atLeast"/>
              <w:jc w:val="center"/>
              <w:rPr>
                <w:rFonts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val="en-US" w:eastAsia="zh-CN"/>
              </w:rPr>
              <w:t>14</w:t>
            </w:r>
            <w:r>
              <w:rPr>
                <w:rFonts w:hint="eastAsia" w:ascii="宋体" w:hAnsi="宋体" w:eastAsia="宋体" w:cs="宋体"/>
                <w:b w:val="0"/>
                <w:bCs w:val="0"/>
                <w:color w:val="auto"/>
                <w:kern w:val="0"/>
                <w:sz w:val="24"/>
                <w:highlight w:val="none"/>
              </w:rPr>
              <w:t>、</w:t>
            </w:r>
            <w:r>
              <w:rPr>
                <w:rFonts w:hint="eastAsia" w:ascii="宋体" w:hAnsi="宋体" w:cs="宋体"/>
                <w:b w:val="0"/>
                <w:bCs w:val="0"/>
                <w:color w:val="auto"/>
                <w:kern w:val="0"/>
                <w:sz w:val="24"/>
                <w:highlight w:val="none"/>
              </w:rPr>
              <w:t>现场演示</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2F6245F">
            <w:pPr>
              <w:widowControl/>
              <w:wordWrap w:val="0"/>
              <w:spacing w:line="480" w:lineRule="atLeast"/>
              <w:jc w:val="right"/>
              <w:rPr>
                <w:rFonts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rPr>
              <w:t>2.0000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A1EEBE7">
            <w:pPr>
              <w:widowControl/>
              <w:spacing w:line="400" w:lineRule="atLeast"/>
              <w:jc w:val="left"/>
              <w:rPr>
                <w:rFonts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14</w:t>
            </w:r>
            <w:r>
              <w:rPr>
                <w:rFonts w:hint="eastAsia" w:ascii="宋体" w:hAnsi="宋体" w:eastAsia="宋体" w:cs="宋体"/>
                <w:b w:val="0"/>
                <w:bCs w:val="0"/>
                <w:color w:val="auto"/>
                <w:kern w:val="0"/>
                <w:sz w:val="24"/>
                <w:highlight w:val="none"/>
              </w:rPr>
              <w:t>.1移动APP端短期外协人员进监预约申请演示要求如下：①发起进监预约申请，开始日期及结束日期限制最大天数不超过</w:t>
            </w:r>
            <w:r>
              <w:rPr>
                <w:rFonts w:hint="eastAsia" w:ascii="宋体" w:hAnsi="宋体" w:eastAsia="宋体" w:cs="宋体"/>
                <w:b w:val="0"/>
                <w:bCs w:val="0"/>
                <w:color w:val="auto"/>
                <w:kern w:val="0"/>
                <w:sz w:val="24"/>
                <w:highlight w:val="none"/>
                <w:lang w:val="en-US" w:eastAsia="zh-CN"/>
              </w:rPr>
              <w:t>3</w:t>
            </w:r>
            <w:r>
              <w:rPr>
                <w:rFonts w:hint="eastAsia" w:ascii="宋体" w:hAnsi="宋体" w:eastAsia="宋体" w:cs="宋体"/>
                <w:b w:val="0"/>
                <w:bCs w:val="0"/>
                <w:color w:val="auto"/>
                <w:kern w:val="0"/>
                <w:sz w:val="24"/>
                <w:highlight w:val="none"/>
              </w:rPr>
              <w:t>天的得0.5分；②添加新增进监人员信息，包括人员名字、身份证号码的得0.5分。③</w:t>
            </w:r>
            <w:r>
              <w:rPr>
                <w:rFonts w:hint="eastAsia" w:ascii="宋体" w:hAnsi="宋体" w:cs="宋体"/>
                <w:b w:val="0"/>
                <w:bCs w:val="0"/>
                <w:color w:val="auto"/>
                <w:kern w:val="0"/>
                <w:sz w:val="24"/>
                <w:highlight w:val="none"/>
              </w:rPr>
              <w:t>添加新增进监工具信息，包括工具名称、工具数量、留监天数的得0.5分；</w:t>
            </w:r>
            <w:r>
              <w:rPr>
                <w:rFonts w:hint="eastAsia" w:ascii="宋体" w:hAnsi="宋体" w:eastAsia="宋体" w:cs="宋体"/>
                <w:b w:val="0"/>
                <w:bCs w:val="0"/>
                <w:color w:val="auto"/>
                <w:kern w:val="0"/>
                <w:sz w:val="24"/>
                <w:highlight w:val="none"/>
              </w:rPr>
              <w:t>④</w:t>
            </w:r>
            <w:r>
              <w:rPr>
                <w:rFonts w:hint="eastAsia" w:ascii="宋体" w:hAnsi="宋体" w:cs="宋体"/>
                <w:b w:val="0"/>
                <w:bCs w:val="0"/>
                <w:color w:val="auto"/>
                <w:kern w:val="0"/>
                <w:sz w:val="24"/>
                <w:highlight w:val="none"/>
              </w:rPr>
              <w:t>添加消耗品信息，包括消耗品名称、消耗品数量、留监天数的得0.5分。</w:t>
            </w:r>
          </w:p>
        </w:tc>
      </w:tr>
      <w:tr w14:paraId="5A09D8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vMerge w:val="continue"/>
            <w:tcBorders>
              <w:left w:val="single" w:color="000000" w:sz="6" w:space="0"/>
              <w:right w:val="single" w:color="000000" w:sz="6" w:space="0"/>
            </w:tcBorders>
            <w:shd w:val="clear" w:color="auto" w:fill="auto"/>
            <w:tcMar>
              <w:left w:w="120" w:type="dxa"/>
              <w:right w:w="120" w:type="dxa"/>
            </w:tcMar>
            <w:vAlign w:val="center"/>
          </w:tcPr>
          <w:p w14:paraId="312514BC">
            <w:pPr>
              <w:widowControl/>
              <w:wordWrap w:val="0"/>
              <w:spacing w:line="480" w:lineRule="atLeast"/>
              <w:jc w:val="center"/>
              <w:rPr>
                <w:rFonts w:ascii="宋体" w:hAnsi="宋体" w:eastAsia="宋体" w:cs="宋体"/>
                <w:b w:val="0"/>
                <w:bCs w:val="0"/>
                <w:color w:val="auto"/>
                <w:kern w:val="0"/>
                <w:sz w:val="24"/>
                <w:highlight w:val="none"/>
              </w:rPr>
            </w:pP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FC0AD3">
            <w:pPr>
              <w:widowControl/>
              <w:wordWrap w:val="0"/>
              <w:spacing w:line="480" w:lineRule="atLeast"/>
              <w:jc w:val="right"/>
              <w:rPr>
                <w:rFonts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0195200">
            <w:pPr>
              <w:widowControl/>
              <w:wordWrap w:val="0"/>
              <w:spacing w:line="480" w:lineRule="atLeast"/>
              <w:jc w:val="left"/>
              <w:rPr>
                <w:rFonts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14</w:t>
            </w:r>
            <w:r>
              <w:rPr>
                <w:rFonts w:hint="eastAsia" w:ascii="宋体" w:hAnsi="宋体" w:eastAsia="宋体" w:cs="宋体"/>
                <w:b w:val="0"/>
                <w:bCs w:val="0"/>
                <w:color w:val="auto"/>
                <w:kern w:val="0"/>
                <w:sz w:val="24"/>
                <w:highlight w:val="none"/>
              </w:rPr>
              <w:t>.2短期外协人员进监移动APP端审批演示要求如下：</w:t>
            </w:r>
          </w:p>
          <w:p w14:paraId="78583287">
            <w:pPr>
              <w:widowControl/>
              <w:wordWrap w:val="0"/>
              <w:spacing w:line="480" w:lineRule="atLeast"/>
              <w:jc w:val="left"/>
              <w:rPr>
                <w:rFonts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①进监审批可查看待办的审批、已办的审批，并通过角标提示待审批的进监申请单的得0.5分；②申请单中可查看入监信息，包括开始日期、结束日期、协作单位、事项说明、陪同民警、经办科室的得0.5分；③申请单中可查看人员清单、物品清单、车辆清单的得1分；④可查看进监申请单审批过程，包括任务节点、办理人、用时、审批意见的得0.5分；⑤支持申请单的退回或同意操作，可自定义输入审批意见的得0.5分。</w:t>
            </w:r>
          </w:p>
        </w:tc>
      </w:tr>
      <w:tr w14:paraId="74C952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vMerge w:val="continue"/>
            <w:tcBorders>
              <w:left w:val="single" w:color="000000" w:sz="6" w:space="0"/>
              <w:right w:val="single" w:color="000000" w:sz="6" w:space="0"/>
            </w:tcBorders>
            <w:shd w:val="clear" w:color="auto" w:fill="auto"/>
            <w:tcMar>
              <w:left w:w="120" w:type="dxa"/>
              <w:right w:w="120" w:type="dxa"/>
            </w:tcMar>
            <w:vAlign w:val="center"/>
          </w:tcPr>
          <w:p w14:paraId="53C64288">
            <w:pPr>
              <w:widowControl/>
              <w:wordWrap w:val="0"/>
              <w:spacing w:line="480" w:lineRule="atLeast"/>
              <w:jc w:val="center"/>
              <w:rPr>
                <w:rFonts w:ascii="宋体" w:hAnsi="宋体" w:eastAsia="宋体" w:cs="宋体"/>
                <w:b w:val="0"/>
                <w:bCs w:val="0"/>
                <w:color w:val="auto"/>
                <w:kern w:val="0"/>
                <w:sz w:val="24"/>
                <w:highlight w:val="none"/>
              </w:rPr>
            </w:pP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47C167">
            <w:pPr>
              <w:widowControl/>
              <w:wordWrap w:val="0"/>
              <w:spacing w:line="480" w:lineRule="atLeast"/>
              <w:jc w:val="right"/>
              <w:rPr>
                <w:rFonts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6DC799">
            <w:pPr>
              <w:widowControl/>
              <w:wordWrap w:val="0"/>
              <w:spacing w:line="480" w:lineRule="atLeast"/>
              <w:jc w:val="left"/>
              <w:rPr>
                <w:rFonts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14</w:t>
            </w:r>
            <w:r>
              <w:rPr>
                <w:rFonts w:hint="eastAsia" w:ascii="宋体" w:hAnsi="宋体" w:eastAsia="宋体" w:cs="宋体"/>
                <w:b w:val="0"/>
                <w:bCs w:val="0"/>
                <w:color w:val="auto"/>
                <w:kern w:val="0"/>
                <w:sz w:val="24"/>
                <w:highlight w:val="none"/>
              </w:rPr>
              <w:t>.3物品核验管理终端工具核验演示要求如下：</w:t>
            </w:r>
          </w:p>
          <w:p w14:paraId="65877C16">
            <w:pPr>
              <w:widowControl/>
              <w:wordWrap w:val="0"/>
              <w:spacing w:line="480" w:lineRule="atLeast"/>
              <w:jc w:val="left"/>
              <w:rPr>
                <w:rFonts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①身份证识别核验，调取已审批关联工具清单、消耗品清单的得0.5分；②根据现场工具和消耗品实际情况，修改物品核验管理终端中工具和数量，修改范围不能超过清单已有工具种类和数量的得0.5分；③一对一核对现场工具和物品核验管理终端工具清单，已完成核对的工具打勾的得0.5分；④核验完成后，对携带工具及消耗品统一拍照，支持多照片及滑动查看的得0.5分；⑤核验过程可对未核验完成的工具进行临时保存的得0.5分；⑥已临时保存工具可在临时记录中再重新调取编辑，延续之前的核验进度的得0.5分。</w:t>
            </w:r>
          </w:p>
        </w:tc>
      </w:tr>
      <w:tr w14:paraId="1D6539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548" w:type="dxa"/>
            <w:vMerge w:val="continue"/>
            <w:tcBorders>
              <w:left w:val="single" w:color="000000" w:sz="6" w:space="0"/>
              <w:bottom w:val="single" w:color="000000" w:sz="6" w:space="0"/>
              <w:right w:val="single" w:color="000000" w:sz="6" w:space="0"/>
            </w:tcBorders>
            <w:shd w:val="clear" w:color="auto" w:fill="auto"/>
            <w:tcMar>
              <w:left w:w="120" w:type="dxa"/>
              <w:right w:w="120" w:type="dxa"/>
            </w:tcMar>
            <w:vAlign w:val="center"/>
          </w:tcPr>
          <w:p w14:paraId="5F964183">
            <w:pPr>
              <w:widowControl/>
              <w:wordWrap w:val="0"/>
              <w:spacing w:line="480" w:lineRule="atLeast"/>
              <w:jc w:val="center"/>
              <w:rPr>
                <w:rFonts w:ascii="宋体" w:hAnsi="宋体" w:eastAsia="宋体" w:cs="宋体"/>
                <w:b w:val="0"/>
                <w:bCs w:val="0"/>
                <w:color w:val="auto"/>
                <w:kern w:val="0"/>
                <w:sz w:val="24"/>
                <w:highlight w:val="none"/>
              </w:rPr>
            </w:pPr>
          </w:p>
        </w:tc>
        <w:tc>
          <w:tcPr>
            <w:tcW w:w="6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78CFC5A">
            <w:pPr>
              <w:widowControl/>
              <w:wordWrap w:val="0"/>
              <w:spacing w:line="480" w:lineRule="atLeast"/>
              <w:jc w:val="right"/>
              <w:rPr>
                <w:rFonts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3.0000</w:t>
            </w:r>
          </w:p>
        </w:tc>
        <w:tc>
          <w:tcPr>
            <w:tcW w:w="6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EB5345D">
            <w:pPr>
              <w:widowControl/>
              <w:wordWrap w:val="0"/>
              <w:spacing w:line="480" w:lineRule="atLeast"/>
              <w:jc w:val="left"/>
              <w:rPr>
                <w:rFonts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14</w:t>
            </w:r>
            <w:r>
              <w:rPr>
                <w:rFonts w:hint="eastAsia" w:ascii="宋体" w:hAnsi="宋体" w:eastAsia="宋体" w:cs="宋体"/>
                <w:b w:val="0"/>
                <w:bCs w:val="0"/>
                <w:color w:val="auto"/>
                <w:kern w:val="0"/>
                <w:sz w:val="24"/>
                <w:highlight w:val="none"/>
              </w:rPr>
              <w:t>.4移动端零星外出核验演示要求如下：</w:t>
            </w:r>
          </w:p>
          <w:p w14:paraId="66B54C21">
            <w:pPr>
              <w:widowControl/>
              <w:wordWrap w:val="0"/>
              <w:spacing w:line="480" w:lineRule="atLeast"/>
              <w:jc w:val="left"/>
              <w:rPr>
                <w:rFonts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rPr>
              <w:t>①服刑人员人脸生物识别核验，可多个服刑人员人脸核验的得1分；②陪同民警人脸识别核验，可多个陪同民警人脸识别核验的得1分；③选择外出原由，包括解回重审、离监就医、外调等的得0.5分；④上传纸质审批单，可多张上传的得0.5分。</w:t>
            </w:r>
          </w:p>
        </w:tc>
      </w:tr>
    </w:tbl>
    <w:p w14:paraId="167334F5">
      <w:pPr>
        <w:pStyle w:val="4"/>
        <w:widowControl/>
        <w:spacing w:beforeAutospacing="0" w:afterAutospacing="0" w:line="480" w:lineRule="atLeast"/>
        <w:ind w:firstLine="420"/>
        <w:jc w:val="both"/>
        <w:rPr>
          <w:rFonts w:ascii="宋体" w:hAnsi="宋体" w:eastAsia="宋体" w:cs="宋体"/>
          <w:b w:val="0"/>
          <w:bCs w:val="0"/>
        </w:rPr>
      </w:pPr>
      <w:r>
        <w:rPr>
          <w:rFonts w:hint="eastAsia" w:ascii="宋体" w:hAnsi="宋体" w:eastAsia="宋体" w:cs="宋体"/>
          <w:b w:val="0"/>
          <w:bCs w:val="0"/>
          <w:color w:val="333333"/>
          <w:shd w:val="clear" w:color="auto" w:fill="FFFFFF"/>
        </w:rPr>
        <w:t>商务项（F3×A3）满分为1</w:t>
      </w:r>
      <w:r>
        <w:rPr>
          <w:rFonts w:hint="eastAsia" w:ascii="宋体" w:hAnsi="宋体" w:eastAsia="宋体" w:cs="宋体"/>
          <w:b w:val="0"/>
          <w:bCs w:val="0"/>
          <w:color w:val="333333"/>
          <w:shd w:val="clear" w:color="auto" w:fill="FFFFFF"/>
          <w:lang w:val="en-US" w:eastAsia="zh-CN"/>
        </w:rPr>
        <w:t>0</w:t>
      </w:r>
      <w:r>
        <w:rPr>
          <w:rFonts w:hint="eastAsia" w:ascii="宋体" w:hAnsi="宋体" w:eastAsia="宋体" w:cs="宋体"/>
          <w:b w:val="0"/>
          <w:bCs w:val="0"/>
          <w:color w:val="333333"/>
          <w:shd w:val="clear" w:color="auto" w:fill="FFFFFF"/>
        </w:rPr>
        <w:t>.0000分</w:t>
      </w:r>
    </w:p>
    <w:tbl>
      <w:tblPr>
        <w:tblStyle w:val="17"/>
        <w:tblW w:w="854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323"/>
        <w:gridCol w:w="885"/>
        <w:gridCol w:w="6338"/>
      </w:tblGrid>
      <w:tr w14:paraId="6047C8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7" w:hRule="atLeast"/>
        </w:trPr>
        <w:tc>
          <w:tcPr>
            <w:tcW w:w="1323"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584B562">
            <w:pPr>
              <w:widowControl/>
              <w:wordWrap w:val="0"/>
              <w:spacing w:line="480" w:lineRule="atLeast"/>
              <w:jc w:val="left"/>
              <w:rPr>
                <w:rFonts w:ascii="宋体" w:hAnsi="宋体" w:eastAsia="宋体" w:cs="宋体"/>
                <w:b w:val="0"/>
                <w:bCs w:val="0"/>
                <w:sz w:val="24"/>
              </w:rPr>
            </w:pPr>
            <w:r>
              <w:rPr>
                <w:rFonts w:hint="eastAsia" w:ascii="宋体" w:hAnsi="宋体" w:eastAsia="宋体" w:cs="宋体"/>
                <w:b w:val="0"/>
                <w:bCs w:val="0"/>
                <w:kern w:val="0"/>
                <w:sz w:val="24"/>
              </w:rPr>
              <w:t>项目</w:t>
            </w:r>
          </w:p>
        </w:tc>
        <w:tc>
          <w:tcPr>
            <w:tcW w:w="88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83C6220">
            <w:pPr>
              <w:widowControl/>
              <w:wordWrap w:val="0"/>
              <w:spacing w:line="480" w:lineRule="atLeast"/>
              <w:jc w:val="left"/>
              <w:rPr>
                <w:rFonts w:ascii="宋体" w:hAnsi="宋体" w:eastAsia="宋体" w:cs="宋体"/>
                <w:b w:val="0"/>
                <w:bCs w:val="0"/>
                <w:sz w:val="24"/>
              </w:rPr>
            </w:pPr>
            <w:r>
              <w:rPr>
                <w:rFonts w:hint="eastAsia" w:ascii="宋体" w:hAnsi="宋体" w:eastAsia="宋体" w:cs="宋体"/>
                <w:b w:val="0"/>
                <w:bCs w:val="0"/>
                <w:kern w:val="0"/>
                <w:sz w:val="24"/>
              </w:rPr>
              <w:t>分值</w:t>
            </w:r>
          </w:p>
        </w:tc>
        <w:tc>
          <w:tcPr>
            <w:tcW w:w="6338"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C9A6748">
            <w:pPr>
              <w:widowControl/>
              <w:wordWrap w:val="0"/>
              <w:spacing w:line="480" w:lineRule="atLeast"/>
              <w:jc w:val="left"/>
              <w:rPr>
                <w:rFonts w:ascii="宋体" w:hAnsi="宋体" w:eastAsia="宋体" w:cs="宋体"/>
                <w:b w:val="0"/>
                <w:bCs w:val="0"/>
                <w:sz w:val="24"/>
              </w:rPr>
            </w:pPr>
            <w:r>
              <w:rPr>
                <w:rFonts w:hint="eastAsia" w:ascii="宋体" w:hAnsi="宋体" w:eastAsia="宋体" w:cs="宋体"/>
                <w:b w:val="0"/>
                <w:bCs w:val="0"/>
                <w:kern w:val="0"/>
                <w:sz w:val="24"/>
              </w:rPr>
              <w:t>描述</w:t>
            </w:r>
          </w:p>
        </w:tc>
      </w:tr>
      <w:tr w14:paraId="7F970F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837471">
            <w:pPr>
              <w:widowControl/>
              <w:wordWrap w:val="0"/>
              <w:spacing w:line="480" w:lineRule="atLeast"/>
              <w:jc w:val="center"/>
              <w:rPr>
                <w:rFonts w:ascii="宋体" w:hAnsi="宋体" w:eastAsia="宋体" w:cs="宋体"/>
                <w:b w:val="0"/>
                <w:bCs w:val="0"/>
                <w:sz w:val="24"/>
              </w:rPr>
            </w:pPr>
            <w:r>
              <w:rPr>
                <w:rFonts w:hint="eastAsia" w:ascii="宋体" w:hAnsi="宋体" w:eastAsia="宋体" w:cs="宋体"/>
                <w:b w:val="0"/>
                <w:bCs w:val="0"/>
                <w:kern w:val="0"/>
                <w:sz w:val="24"/>
              </w:rPr>
              <w:t>1、业绩</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255D08">
            <w:pPr>
              <w:widowControl/>
              <w:wordWrap w:val="0"/>
              <w:spacing w:line="480" w:lineRule="atLeast"/>
              <w:jc w:val="right"/>
              <w:rPr>
                <w:rFonts w:ascii="宋体" w:hAnsi="宋体" w:eastAsia="宋体" w:cs="宋体"/>
                <w:b w:val="0"/>
                <w:bCs w:val="0"/>
                <w:sz w:val="24"/>
              </w:rPr>
            </w:pPr>
            <w:r>
              <w:rPr>
                <w:rFonts w:hint="eastAsia" w:ascii="宋体" w:hAnsi="宋体" w:eastAsia="宋体" w:cs="宋体"/>
                <w:b w:val="0"/>
                <w:bCs w:val="0"/>
                <w:kern w:val="0"/>
                <w:sz w:val="24"/>
              </w:rPr>
              <w:t>4.0000</w:t>
            </w:r>
          </w:p>
        </w:tc>
        <w:tc>
          <w:tcPr>
            <w:tcW w:w="633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4DCA7E">
            <w:pPr>
              <w:widowControl/>
              <w:wordWrap w:val="0"/>
              <w:spacing w:line="480" w:lineRule="atLeast"/>
              <w:jc w:val="left"/>
              <w:rPr>
                <w:rFonts w:ascii="宋体" w:hAnsi="宋体" w:eastAsia="宋体" w:cs="宋体"/>
                <w:b w:val="0"/>
                <w:bCs w:val="0"/>
                <w:kern w:val="0"/>
                <w:sz w:val="24"/>
              </w:rPr>
            </w:pPr>
            <w:r>
              <w:rPr>
                <w:rFonts w:hint="eastAsia" w:ascii="宋体" w:hAnsi="宋体" w:eastAsia="宋体" w:cs="宋体"/>
                <w:b w:val="0"/>
                <w:bCs w:val="0"/>
                <w:kern w:val="0"/>
                <w:sz w:val="24"/>
              </w:rPr>
              <w:t>自2021年1月1日以来（日期以合同签订时间为准），由投标人提供的与本采购包同类完整业绩的，每提供一份的得2分，满分4分。</w:t>
            </w:r>
          </w:p>
          <w:p w14:paraId="353C7544">
            <w:pPr>
              <w:widowControl/>
              <w:wordWrap w:val="0"/>
              <w:spacing w:line="480" w:lineRule="atLeast"/>
              <w:jc w:val="left"/>
              <w:rPr>
                <w:rFonts w:ascii="宋体" w:hAnsi="宋体" w:eastAsia="宋体" w:cs="宋体"/>
                <w:b w:val="0"/>
                <w:bCs w:val="0"/>
                <w:kern w:val="0"/>
                <w:sz w:val="24"/>
              </w:rPr>
            </w:pPr>
            <w:r>
              <w:rPr>
                <w:rFonts w:hint="eastAsia" w:ascii="宋体" w:hAnsi="宋体" w:eastAsia="宋体" w:cs="宋体"/>
                <w:b w:val="0"/>
                <w:bCs w:val="0"/>
                <w:kern w:val="0"/>
                <w:sz w:val="24"/>
              </w:rPr>
              <w:t>注：【完整业绩指项目中须含中标/成交结果公告（提供相关网站中标/成交公告的下载网页并注明网址）、中标/成交通知书复印件、采购合同文本复印件，以及能够证明该业绩项目已经采购人验收合格的相关证明文件复印件，未同时提供以上各项证明材料的，该项业绩不给予计分。】</w:t>
            </w:r>
          </w:p>
        </w:tc>
      </w:tr>
      <w:tr w14:paraId="1CBDC3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C5971A">
            <w:pPr>
              <w:widowControl/>
              <w:wordWrap w:val="0"/>
              <w:spacing w:line="480" w:lineRule="atLeast"/>
              <w:jc w:val="center"/>
              <w:rPr>
                <w:rFonts w:ascii="宋体" w:hAnsi="宋体" w:eastAsia="宋体" w:cs="宋体"/>
                <w:b w:val="0"/>
                <w:bCs w:val="0"/>
                <w:sz w:val="24"/>
              </w:rPr>
            </w:pPr>
            <w:r>
              <w:rPr>
                <w:rFonts w:hint="eastAsia" w:ascii="宋体" w:hAnsi="宋体" w:eastAsia="宋体" w:cs="宋体"/>
                <w:b w:val="0"/>
                <w:bCs w:val="0"/>
                <w:kern w:val="0"/>
                <w:sz w:val="24"/>
              </w:rPr>
              <w:t>2、</w:t>
            </w:r>
            <w:r>
              <w:rPr>
                <w:rFonts w:hint="eastAsia" w:ascii="宋体" w:hAnsi="宋体" w:cs="宋体"/>
                <w:b w:val="0"/>
                <w:bCs w:val="0"/>
                <w:sz w:val="24"/>
              </w:rPr>
              <w:t>售后服务方案</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486D39">
            <w:pPr>
              <w:widowControl/>
              <w:wordWrap w:val="0"/>
              <w:spacing w:line="480" w:lineRule="atLeast"/>
              <w:jc w:val="right"/>
              <w:rPr>
                <w:rFonts w:ascii="宋体" w:hAnsi="宋体" w:eastAsia="宋体" w:cs="宋体"/>
                <w:b w:val="0"/>
                <w:bCs w:val="0"/>
                <w:sz w:val="24"/>
              </w:rPr>
            </w:pPr>
            <w:r>
              <w:rPr>
                <w:rFonts w:hint="eastAsia" w:ascii="宋体" w:hAnsi="宋体" w:eastAsia="宋体" w:cs="宋体"/>
                <w:b w:val="0"/>
                <w:bCs w:val="0"/>
                <w:kern w:val="0"/>
                <w:sz w:val="24"/>
              </w:rPr>
              <w:t>2.0000</w:t>
            </w:r>
          </w:p>
        </w:tc>
        <w:tc>
          <w:tcPr>
            <w:tcW w:w="633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E34CAD1">
            <w:pPr>
              <w:widowControl/>
              <w:wordWrap w:val="0"/>
              <w:spacing w:line="480" w:lineRule="atLeast"/>
              <w:jc w:val="left"/>
              <w:rPr>
                <w:rFonts w:ascii="宋体" w:hAnsi="宋体" w:eastAsia="宋体" w:cs="宋体"/>
                <w:b w:val="0"/>
                <w:bCs w:val="0"/>
                <w:kern w:val="0"/>
                <w:sz w:val="24"/>
              </w:rPr>
            </w:pPr>
            <w:r>
              <w:rPr>
                <w:rFonts w:hint="eastAsia" w:ascii="宋体" w:hAnsi="宋体" w:eastAsia="宋体" w:cs="宋体"/>
                <w:b w:val="0"/>
                <w:bCs w:val="0"/>
                <w:kern w:val="0"/>
                <w:sz w:val="24"/>
              </w:rPr>
              <w:t>为保障售后服务，根据投标人针对本采购包所提供的售后服务方案【包括但不限于具体的服务机构设置、售后服务内容、服务响应时间、响应方式等方面】</w:t>
            </w:r>
            <w:r>
              <w:rPr>
                <w:rFonts w:hint="eastAsia" w:ascii="宋体" w:hAnsi="宋体" w:eastAsia="宋体" w:cs="宋体"/>
                <w:b w:val="0"/>
                <w:bCs w:val="0"/>
                <w:sz w:val="24"/>
                <w:shd w:val="clear" w:color="auto" w:fill="FFFFFF"/>
              </w:rPr>
              <w:t>由评委进行评分：方案包含的要点齐全无缺漏项、内容与要点相符、内容完善且能够适用于本项目的得2分；方案所包含的要点齐全、内容与要点相符，但仅有纲要内容简略，未展开阐述的得1分；方案所包含的要点有缺漏或内容存在错误的得0.5分，未提供的不得分。</w:t>
            </w:r>
          </w:p>
        </w:tc>
      </w:tr>
      <w:tr w14:paraId="0AB4F3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2D627C4">
            <w:pPr>
              <w:widowControl/>
              <w:wordWrap w:val="0"/>
              <w:spacing w:line="480" w:lineRule="atLeast"/>
              <w:jc w:val="center"/>
              <w:rPr>
                <w:rFonts w:ascii="宋体" w:hAnsi="宋体" w:eastAsia="宋体" w:cs="宋体"/>
                <w:b w:val="0"/>
                <w:bCs w:val="0"/>
                <w:kern w:val="0"/>
                <w:sz w:val="24"/>
              </w:rPr>
            </w:pPr>
            <w:r>
              <w:rPr>
                <w:rFonts w:hint="eastAsia" w:ascii="宋体" w:hAnsi="宋体" w:eastAsia="宋体" w:cs="宋体"/>
                <w:b w:val="0"/>
                <w:bCs w:val="0"/>
                <w:kern w:val="0"/>
                <w:sz w:val="24"/>
              </w:rPr>
              <w:t>3、项目负责人</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0BED542">
            <w:pPr>
              <w:widowControl/>
              <w:wordWrap w:val="0"/>
              <w:spacing w:line="480" w:lineRule="atLeast"/>
              <w:jc w:val="right"/>
              <w:rPr>
                <w:rFonts w:ascii="宋体" w:hAnsi="宋体" w:eastAsia="宋体" w:cs="宋体"/>
                <w:b w:val="0"/>
                <w:bCs w:val="0"/>
                <w:sz w:val="24"/>
              </w:rPr>
            </w:pPr>
            <w:r>
              <w:rPr>
                <w:rFonts w:hint="eastAsia" w:ascii="宋体" w:hAnsi="宋体" w:eastAsia="宋体" w:cs="宋体"/>
                <w:b w:val="0"/>
                <w:bCs w:val="0"/>
                <w:kern w:val="0"/>
                <w:sz w:val="24"/>
                <w:lang w:val="en-US" w:eastAsia="zh-CN"/>
              </w:rPr>
              <w:t>1</w:t>
            </w:r>
            <w:r>
              <w:rPr>
                <w:rFonts w:hint="eastAsia" w:ascii="宋体" w:hAnsi="宋体" w:eastAsia="宋体" w:cs="宋体"/>
                <w:b w:val="0"/>
                <w:bCs w:val="0"/>
                <w:kern w:val="0"/>
                <w:sz w:val="24"/>
              </w:rPr>
              <w:t>.0000</w:t>
            </w:r>
          </w:p>
        </w:tc>
        <w:tc>
          <w:tcPr>
            <w:tcW w:w="633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1591521">
            <w:pPr>
              <w:widowControl/>
              <w:wordWrap w:val="0"/>
              <w:spacing w:line="480" w:lineRule="atLeast"/>
              <w:jc w:val="left"/>
              <w:rPr>
                <w:rFonts w:ascii="宋体" w:hAnsi="宋体" w:eastAsia="宋体" w:cs="宋体"/>
                <w:b w:val="0"/>
                <w:bCs w:val="0"/>
                <w:kern w:val="0"/>
                <w:sz w:val="24"/>
              </w:rPr>
            </w:pPr>
            <w:r>
              <w:rPr>
                <w:rFonts w:hint="eastAsia" w:ascii="宋体" w:hAnsi="宋体" w:eastAsia="宋体" w:cs="宋体"/>
                <w:b w:val="0"/>
                <w:bCs w:val="0"/>
                <w:kern w:val="0"/>
                <w:sz w:val="24"/>
              </w:rPr>
              <w:t>投标人拟为本采购包配备的项目负责人具备信息系统项目管理师（高级）或项目管理师（PMP）证书的得</w:t>
            </w:r>
            <w:r>
              <w:rPr>
                <w:rFonts w:hint="eastAsia" w:ascii="宋体" w:hAnsi="宋体" w:eastAsia="宋体" w:cs="宋体"/>
                <w:b w:val="0"/>
                <w:bCs w:val="0"/>
                <w:kern w:val="0"/>
                <w:sz w:val="24"/>
                <w:lang w:val="en-US" w:eastAsia="zh-CN"/>
              </w:rPr>
              <w:t>1</w:t>
            </w:r>
            <w:r>
              <w:rPr>
                <w:rFonts w:hint="eastAsia" w:ascii="宋体" w:hAnsi="宋体" w:eastAsia="宋体" w:cs="宋体"/>
                <w:b w:val="0"/>
                <w:bCs w:val="0"/>
                <w:kern w:val="0"/>
                <w:sz w:val="24"/>
              </w:rPr>
              <w:t>分。</w:t>
            </w:r>
          </w:p>
          <w:p w14:paraId="36C1B991">
            <w:pPr>
              <w:widowControl/>
              <w:wordWrap w:val="0"/>
              <w:spacing w:line="480" w:lineRule="atLeast"/>
              <w:jc w:val="left"/>
              <w:rPr>
                <w:rFonts w:ascii="宋体" w:hAnsi="宋体" w:eastAsia="宋体" w:cs="宋体"/>
                <w:b w:val="0"/>
                <w:bCs w:val="0"/>
                <w:kern w:val="0"/>
                <w:sz w:val="24"/>
              </w:rPr>
            </w:pPr>
            <w:r>
              <w:rPr>
                <w:rFonts w:hint="eastAsia" w:ascii="宋体" w:hAnsi="宋体" w:eastAsia="宋体" w:cs="宋体"/>
                <w:b w:val="0"/>
                <w:bCs w:val="0"/>
                <w:kern w:val="0"/>
                <w:sz w:val="24"/>
              </w:rPr>
              <w:t>注：须提供该人员在投标截止时间前六个月（不含投标截止时间的当月）中任一月份由投标人为其缴纳的社会保险凭据复印件和上述证书的复印件并加盖投标人公章，否则不得分。</w:t>
            </w:r>
          </w:p>
        </w:tc>
      </w:tr>
      <w:tr w14:paraId="31FB86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3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20A8A9">
            <w:pPr>
              <w:widowControl/>
              <w:wordWrap w:val="0"/>
              <w:spacing w:line="480" w:lineRule="atLeast"/>
              <w:jc w:val="center"/>
              <w:rPr>
                <w:rFonts w:ascii="宋体" w:hAnsi="宋体" w:eastAsia="宋体" w:cs="宋体"/>
                <w:b w:val="0"/>
                <w:bCs w:val="0"/>
                <w:kern w:val="0"/>
                <w:sz w:val="24"/>
              </w:rPr>
            </w:pPr>
            <w:r>
              <w:rPr>
                <w:rFonts w:hint="eastAsia" w:ascii="宋体" w:hAnsi="宋体" w:eastAsia="宋体" w:cs="宋体"/>
                <w:b w:val="0"/>
                <w:bCs w:val="0"/>
                <w:kern w:val="0"/>
                <w:sz w:val="24"/>
              </w:rPr>
              <w:t>4、维保期</w:t>
            </w:r>
          </w:p>
        </w:tc>
        <w:tc>
          <w:tcPr>
            <w:tcW w:w="8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9F9ECA0">
            <w:pPr>
              <w:widowControl/>
              <w:wordWrap w:val="0"/>
              <w:spacing w:line="480" w:lineRule="atLeast"/>
              <w:jc w:val="right"/>
              <w:rPr>
                <w:rFonts w:ascii="宋体" w:hAnsi="宋体" w:eastAsia="宋体" w:cs="宋体"/>
                <w:b w:val="0"/>
                <w:bCs w:val="0"/>
                <w:sz w:val="24"/>
              </w:rPr>
            </w:pPr>
            <w:r>
              <w:rPr>
                <w:rFonts w:hint="eastAsia" w:ascii="宋体" w:hAnsi="宋体" w:eastAsia="宋体" w:cs="宋体"/>
                <w:b w:val="0"/>
                <w:bCs w:val="0"/>
                <w:kern w:val="0"/>
                <w:sz w:val="24"/>
              </w:rPr>
              <w:t>3.0000</w:t>
            </w:r>
          </w:p>
        </w:tc>
        <w:tc>
          <w:tcPr>
            <w:tcW w:w="633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95A4EE">
            <w:pPr>
              <w:widowControl/>
              <w:wordWrap w:val="0"/>
              <w:spacing w:line="480" w:lineRule="atLeast"/>
              <w:jc w:val="left"/>
              <w:rPr>
                <w:rFonts w:ascii="宋体" w:hAnsi="宋体" w:eastAsia="宋体" w:cs="宋体"/>
                <w:b w:val="0"/>
                <w:bCs w:val="0"/>
                <w:kern w:val="0"/>
                <w:sz w:val="24"/>
              </w:rPr>
            </w:pPr>
            <w:r>
              <w:rPr>
                <w:rFonts w:hint="eastAsia" w:ascii="宋体" w:hAnsi="宋体" w:eastAsia="宋体" w:cs="宋体"/>
                <w:b w:val="0"/>
                <w:bCs w:val="0"/>
                <w:kern w:val="0"/>
                <w:sz w:val="24"/>
              </w:rPr>
              <w:t>投标人所投产品的维保期在满足招标文件要求（</w:t>
            </w:r>
            <w:r>
              <w:rPr>
                <w:rFonts w:hint="eastAsia" w:ascii="宋体" w:hAnsi="宋体" w:eastAsia="宋体" w:cs="宋体"/>
                <w:b w:val="0"/>
                <w:bCs w:val="0"/>
                <w:color w:val="333333"/>
                <w:sz w:val="24"/>
                <w:shd w:val="clear" w:color="auto" w:fill="FFFFFF"/>
              </w:rPr>
              <w:t>两年维保期）</w:t>
            </w:r>
            <w:r>
              <w:rPr>
                <w:rFonts w:hint="eastAsia" w:ascii="宋体" w:hAnsi="宋体" w:eastAsia="宋体" w:cs="宋体"/>
                <w:b w:val="0"/>
                <w:bCs w:val="0"/>
                <w:kern w:val="0"/>
                <w:sz w:val="24"/>
              </w:rPr>
              <w:t>的基础上，每</w:t>
            </w:r>
            <w:r>
              <w:rPr>
                <w:rFonts w:hint="eastAsia" w:ascii="宋体" w:hAnsi="宋体" w:eastAsia="宋体" w:cs="宋体"/>
                <w:b w:val="0"/>
                <w:bCs w:val="0"/>
                <w:kern w:val="0"/>
                <w:sz w:val="24"/>
                <w:lang w:eastAsia="zh-CN"/>
              </w:rPr>
              <w:t>延长</w:t>
            </w:r>
            <w:r>
              <w:rPr>
                <w:rFonts w:hint="eastAsia" w:ascii="宋体" w:hAnsi="宋体" w:eastAsia="宋体" w:cs="宋体"/>
                <w:b w:val="0"/>
                <w:bCs w:val="0"/>
                <w:kern w:val="0"/>
                <w:sz w:val="24"/>
              </w:rPr>
              <w:t>一年的</w:t>
            </w:r>
            <w:r>
              <w:rPr>
                <w:rFonts w:hint="eastAsia" w:ascii="宋体" w:hAnsi="宋体" w:eastAsia="宋体" w:cs="宋体"/>
                <w:b w:val="0"/>
                <w:bCs w:val="0"/>
                <w:kern w:val="0"/>
                <w:sz w:val="24"/>
                <w:lang w:val="en-US" w:eastAsia="zh-CN"/>
              </w:rPr>
              <w:t>得</w:t>
            </w:r>
            <w:r>
              <w:rPr>
                <w:rFonts w:hint="eastAsia" w:ascii="宋体" w:hAnsi="宋体" w:eastAsia="宋体" w:cs="宋体"/>
                <w:b w:val="0"/>
                <w:bCs w:val="0"/>
                <w:kern w:val="0"/>
                <w:sz w:val="24"/>
              </w:rPr>
              <w:t>1分，本项最高3分。须提供</w:t>
            </w:r>
            <w:r>
              <w:rPr>
                <w:rFonts w:hint="eastAsia" w:ascii="宋体" w:hAnsi="宋体" w:eastAsia="宋体" w:cs="宋体"/>
                <w:b w:val="0"/>
                <w:bCs w:val="0"/>
                <w:kern w:val="0"/>
                <w:sz w:val="24"/>
                <w:lang w:eastAsia="zh-CN"/>
              </w:rPr>
              <w:t>延长</w:t>
            </w:r>
            <w:r>
              <w:rPr>
                <w:rFonts w:hint="eastAsia" w:ascii="宋体" w:hAnsi="宋体" w:eastAsia="宋体" w:cs="宋体"/>
                <w:b w:val="0"/>
                <w:bCs w:val="0"/>
                <w:kern w:val="0"/>
                <w:sz w:val="24"/>
              </w:rPr>
              <w:t>维保期承诺（格式自拟）。</w:t>
            </w:r>
          </w:p>
        </w:tc>
      </w:tr>
    </w:tbl>
    <w:p w14:paraId="00402E09">
      <w:pPr>
        <w:pStyle w:val="4"/>
        <w:widowControl/>
        <w:spacing w:beforeAutospacing="0" w:afterAutospacing="0" w:line="480" w:lineRule="atLeast"/>
        <w:ind w:firstLine="420"/>
        <w:jc w:val="both"/>
        <w:rPr>
          <w:rFonts w:ascii="宋体" w:hAnsi="宋体" w:eastAsia="宋体" w:cs="宋体"/>
          <w:b w:val="0"/>
          <w:bCs w:val="0"/>
        </w:rPr>
      </w:pPr>
      <w:r>
        <w:rPr>
          <w:rFonts w:hint="eastAsia" w:ascii="宋体" w:hAnsi="宋体" w:eastAsia="宋体" w:cs="宋体"/>
          <w:b w:val="0"/>
          <w:bCs w:val="0"/>
          <w:color w:val="333333"/>
          <w:shd w:val="clear" w:color="auto" w:fill="FFFFFF"/>
        </w:rPr>
        <w:t>※除本章第6.3条第（3）款规定情形和落实政府采购政策需进行的价格扣除情形外，不能对投标人的投标报价进行任何调整。</w:t>
      </w:r>
    </w:p>
    <w:p w14:paraId="131C27EC">
      <w:pPr>
        <w:pStyle w:val="4"/>
        <w:widowControl/>
        <w:spacing w:beforeAutospacing="0" w:afterAutospacing="0" w:line="480" w:lineRule="atLeast"/>
        <w:ind w:firstLine="420"/>
        <w:jc w:val="both"/>
        <w:rPr>
          <w:rFonts w:ascii="宋体" w:hAnsi="宋体" w:eastAsia="宋体" w:cs="宋体"/>
          <w:b w:val="0"/>
          <w:bCs w:val="0"/>
        </w:rPr>
      </w:pPr>
      <w:r>
        <w:rPr>
          <w:rFonts w:hint="eastAsia" w:ascii="宋体" w:hAnsi="宋体" w:eastAsia="宋体" w:cs="宋体"/>
          <w:b w:val="0"/>
          <w:bCs w:val="0"/>
          <w:color w:val="333333"/>
          <w:shd w:val="clear" w:color="auto" w:fill="FFFFFF"/>
        </w:rPr>
        <w:t>（3）中标候选人排列规则顺序如下：</w:t>
      </w:r>
    </w:p>
    <w:p w14:paraId="15E33908">
      <w:pPr>
        <w:pStyle w:val="4"/>
        <w:widowControl/>
        <w:spacing w:beforeAutospacing="0" w:afterAutospacing="0" w:line="480" w:lineRule="atLeast"/>
        <w:ind w:firstLine="420"/>
        <w:jc w:val="both"/>
        <w:rPr>
          <w:rFonts w:ascii="宋体" w:hAnsi="宋体" w:eastAsia="宋体" w:cs="宋体"/>
          <w:b w:val="0"/>
          <w:bCs w:val="0"/>
        </w:rPr>
      </w:pPr>
      <w:r>
        <w:rPr>
          <w:rFonts w:hint="eastAsia" w:ascii="宋体" w:hAnsi="宋体" w:eastAsia="宋体" w:cs="宋体"/>
          <w:b w:val="0"/>
          <w:bCs w:val="0"/>
          <w:color w:val="333333"/>
          <w:shd w:val="clear" w:color="auto" w:fill="FFFFFF"/>
        </w:rPr>
        <w:t>a.按照评标总得分（FA）由高到低顺序排列。</w:t>
      </w:r>
    </w:p>
    <w:p w14:paraId="38EA61BF">
      <w:pPr>
        <w:pStyle w:val="4"/>
        <w:widowControl/>
        <w:spacing w:beforeAutospacing="0" w:afterAutospacing="0" w:line="480" w:lineRule="atLeast"/>
        <w:ind w:firstLine="420"/>
        <w:jc w:val="both"/>
        <w:rPr>
          <w:rFonts w:ascii="宋体" w:hAnsi="宋体" w:eastAsia="宋体" w:cs="宋体"/>
          <w:b w:val="0"/>
          <w:bCs w:val="0"/>
        </w:rPr>
      </w:pPr>
      <w:r>
        <w:rPr>
          <w:rFonts w:hint="eastAsia" w:ascii="宋体" w:hAnsi="宋体" w:eastAsia="宋体" w:cs="宋体"/>
          <w:b w:val="0"/>
          <w:bCs w:val="0"/>
          <w:color w:val="333333"/>
          <w:shd w:val="clear" w:color="auto" w:fill="FFFFFF"/>
        </w:rPr>
        <w:t>b.评标总得分（FA）相同的，按照评标价（即价格扣除后的投标报价）由低到高顺序排列。</w:t>
      </w:r>
    </w:p>
    <w:p w14:paraId="00285E15">
      <w:pPr>
        <w:pStyle w:val="4"/>
        <w:widowControl/>
        <w:spacing w:beforeAutospacing="0" w:afterAutospacing="0" w:line="480" w:lineRule="atLeast"/>
        <w:ind w:firstLine="420"/>
        <w:jc w:val="both"/>
        <w:rPr>
          <w:rFonts w:ascii="宋体" w:hAnsi="宋体" w:eastAsia="宋体" w:cs="宋体"/>
          <w:b w:val="0"/>
          <w:bCs w:val="0"/>
        </w:rPr>
      </w:pPr>
      <w:r>
        <w:rPr>
          <w:rFonts w:hint="eastAsia" w:ascii="宋体" w:hAnsi="宋体" w:eastAsia="宋体" w:cs="宋体"/>
          <w:b w:val="0"/>
          <w:bCs w:val="0"/>
          <w:color w:val="333333"/>
          <w:shd w:val="clear" w:color="auto" w:fill="FFFFFF"/>
        </w:rPr>
        <w:t>c.评标总得分（FA）且评标价（即价格扣除后的投标报价）相同的并列。</w:t>
      </w:r>
    </w:p>
    <w:p w14:paraId="052F03C3">
      <w:pPr>
        <w:pStyle w:val="4"/>
        <w:widowControl/>
        <w:shd w:val="clear" w:color="auto" w:fill="FFFFFF"/>
        <w:spacing w:beforeAutospacing="0" w:afterAutospacing="0" w:line="480" w:lineRule="atLeast"/>
        <w:ind w:firstLine="420"/>
        <w:jc w:val="both"/>
        <w:rPr>
          <w:rFonts w:ascii="宋体" w:hAnsi="宋体" w:eastAsia="宋体" w:cs="宋体"/>
          <w:b w:val="0"/>
          <w:bCs w:val="0"/>
          <w:color w:val="333333"/>
        </w:rPr>
      </w:pPr>
      <w:r>
        <w:rPr>
          <w:rFonts w:hint="eastAsia" w:ascii="宋体" w:hAnsi="宋体" w:eastAsia="宋体" w:cs="宋体"/>
          <w:b w:val="0"/>
          <w:bCs w:val="0"/>
          <w:color w:val="333333"/>
          <w:shd w:val="clear" w:color="auto" w:fill="FFFFFF"/>
        </w:rPr>
        <w:t>8、其他规定</w:t>
      </w:r>
    </w:p>
    <w:p w14:paraId="6D51D824">
      <w:pPr>
        <w:pStyle w:val="4"/>
        <w:widowControl/>
        <w:shd w:val="clear" w:color="auto" w:fill="FFFFFF"/>
        <w:spacing w:beforeAutospacing="0" w:afterAutospacing="0" w:line="480" w:lineRule="atLeast"/>
        <w:ind w:firstLine="420"/>
        <w:jc w:val="both"/>
        <w:rPr>
          <w:rFonts w:ascii="宋体" w:hAnsi="宋体" w:eastAsia="宋体" w:cs="宋体"/>
          <w:b w:val="0"/>
          <w:bCs w:val="0"/>
          <w:color w:val="333333"/>
        </w:rPr>
      </w:pPr>
      <w:r>
        <w:rPr>
          <w:rFonts w:hint="eastAsia" w:ascii="宋体" w:hAnsi="宋体" w:eastAsia="宋体" w:cs="宋体"/>
          <w:b w:val="0"/>
          <w:bCs w:val="0"/>
          <w:color w:val="333333"/>
          <w:shd w:val="clear" w:color="auto" w:fill="FFFFFF"/>
        </w:rPr>
        <w:t>8.1评标应全程保密且不得透露给任一投标人或与评标工作无关的人员。</w:t>
      </w:r>
    </w:p>
    <w:p w14:paraId="023636B1">
      <w:pPr>
        <w:pStyle w:val="4"/>
        <w:widowControl/>
        <w:shd w:val="clear" w:color="auto" w:fill="FFFFFF"/>
        <w:spacing w:beforeAutospacing="0" w:afterAutospacing="0" w:line="480" w:lineRule="atLeast"/>
        <w:ind w:firstLine="420"/>
        <w:jc w:val="both"/>
        <w:rPr>
          <w:rFonts w:ascii="宋体" w:hAnsi="宋体" w:eastAsia="宋体" w:cs="宋体"/>
          <w:b w:val="0"/>
          <w:bCs w:val="0"/>
          <w:color w:val="333333"/>
        </w:rPr>
      </w:pPr>
      <w:r>
        <w:rPr>
          <w:rFonts w:hint="eastAsia" w:ascii="宋体" w:hAnsi="宋体" w:eastAsia="宋体" w:cs="宋体"/>
          <w:b w:val="0"/>
          <w:bCs w:val="0"/>
          <w:color w:val="333333"/>
          <w:shd w:val="clear" w:color="auto" w:fill="FFFFFF"/>
        </w:rPr>
        <w:t>8.2评标将进行全程实时录音录像，录音录像资料随采购文件一并存档。</w:t>
      </w:r>
    </w:p>
    <w:p w14:paraId="17980D88">
      <w:pPr>
        <w:pStyle w:val="4"/>
        <w:widowControl/>
        <w:shd w:val="clear" w:color="auto" w:fill="FFFFFF"/>
        <w:spacing w:beforeAutospacing="0" w:afterAutospacing="0" w:line="480" w:lineRule="atLeast"/>
        <w:ind w:firstLine="420"/>
        <w:jc w:val="both"/>
        <w:rPr>
          <w:rFonts w:ascii="宋体" w:hAnsi="宋体" w:eastAsia="宋体" w:cs="宋体"/>
          <w:b w:val="0"/>
          <w:bCs w:val="0"/>
          <w:color w:val="333333"/>
        </w:rPr>
      </w:pPr>
      <w:r>
        <w:rPr>
          <w:rFonts w:hint="eastAsia" w:ascii="宋体" w:hAnsi="宋体" w:eastAsia="宋体" w:cs="宋体"/>
          <w:b w:val="0"/>
          <w:bCs w:val="0"/>
          <w:color w:val="333333"/>
          <w:shd w:val="clear" w:color="auto" w:fill="FFFFFF"/>
        </w:rPr>
        <w:t>8.3若投标人有任何试图干扰具体评标事务，影响评标委员会独立履行职责的行为，其投标无效且不予退还投标保证金或通过投标保函进行索赔。情节严重的，由财政部门列入不良行为记录。</w:t>
      </w:r>
    </w:p>
    <w:p w14:paraId="4CA8A126">
      <w:pPr>
        <w:pStyle w:val="4"/>
        <w:widowControl/>
        <w:shd w:val="clear" w:color="auto" w:fill="FFFFFF"/>
        <w:spacing w:beforeAutospacing="0" w:afterAutospacing="0" w:line="480" w:lineRule="atLeast"/>
        <w:ind w:firstLine="420"/>
        <w:jc w:val="both"/>
        <w:rPr>
          <w:rFonts w:ascii="宋体" w:hAnsi="宋体" w:eastAsia="宋体" w:cs="宋体"/>
          <w:b w:val="0"/>
          <w:bCs w:val="0"/>
          <w:color w:val="333333"/>
        </w:rPr>
      </w:pPr>
      <w:r>
        <w:rPr>
          <w:rFonts w:hint="eastAsia" w:ascii="宋体" w:hAnsi="宋体" w:eastAsia="宋体" w:cs="宋体"/>
          <w:b w:val="0"/>
          <w:bCs w:val="0"/>
          <w:color w:val="333333"/>
          <w:shd w:val="clear" w:color="auto" w:fill="FFFFFF"/>
        </w:rPr>
        <w:t>8.4其他：</w:t>
      </w:r>
    </w:p>
    <w:p w14:paraId="207C650D">
      <w:pPr>
        <w:pStyle w:val="4"/>
        <w:widowControl/>
        <w:spacing w:beforeAutospacing="0" w:afterAutospacing="0" w:line="480" w:lineRule="atLeast"/>
        <w:ind w:firstLine="420"/>
        <w:jc w:val="both"/>
        <w:rPr>
          <w:rFonts w:ascii="宋体" w:hAnsi="宋体" w:eastAsia="宋体" w:cs="宋体"/>
          <w:b w:val="0"/>
          <w:bCs w:val="0"/>
        </w:rPr>
      </w:pPr>
      <w:r>
        <w:rPr>
          <w:rFonts w:hint="eastAsia" w:ascii="宋体" w:hAnsi="宋体" w:eastAsia="宋体" w:cs="宋体"/>
          <w:b w:val="0"/>
          <w:bCs w:val="0"/>
          <w:color w:val="333333"/>
          <w:shd w:val="clear" w:color="auto" w:fill="FFFFFF"/>
        </w:rPr>
        <w:t>无。</w:t>
      </w:r>
    </w:p>
    <w:p w14:paraId="24B870C5">
      <w:pPr>
        <w:widowControl/>
        <w:shd w:val="clear" w:color="auto" w:fill="FFFFFF"/>
        <w:spacing w:beforeAutospacing="0" w:afterAutospacing="0" w:line="480" w:lineRule="atLeast"/>
        <w:jc w:val="center"/>
        <w:rPr>
          <w:rFonts w:cs="宋体"/>
          <w:color w:val="333333"/>
          <w:sz w:val="39"/>
          <w:szCs w:val="39"/>
          <w:shd w:val="clear" w:color="auto" w:fill="FFFFFF"/>
        </w:rPr>
      </w:pPr>
      <w:r>
        <w:rPr>
          <w:rFonts w:cs="宋体"/>
          <w:color w:val="333333"/>
          <w:sz w:val="39"/>
          <w:szCs w:val="39"/>
          <w:shd w:val="clear" w:color="auto" w:fill="FFFFFF"/>
        </w:rPr>
        <w:br w:type="page"/>
      </w:r>
    </w:p>
    <w:p w14:paraId="4B6EF458">
      <w:pPr>
        <w:pStyle w:val="8"/>
        <w:widowControl/>
        <w:shd w:val="clear" w:color="auto" w:fill="FFFFFF"/>
        <w:spacing w:beforeAutospacing="0" w:afterAutospacing="0" w:line="480" w:lineRule="atLeast"/>
        <w:jc w:val="center"/>
        <w:rPr>
          <w:rFonts w:hint="default" w:cs="宋体"/>
          <w:color w:val="333333"/>
          <w:sz w:val="39"/>
          <w:szCs w:val="39"/>
        </w:rPr>
      </w:pPr>
      <w:r>
        <w:rPr>
          <w:rFonts w:cs="宋体"/>
          <w:color w:val="333333"/>
          <w:sz w:val="39"/>
          <w:szCs w:val="39"/>
          <w:shd w:val="clear" w:color="auto" w:fill="FFFFFF"/>
        </w:rPr>
        <w:t>第五章 招标内容及要求</w:t>
      </w:r>
    </w:p>
    <w:p w14:paraId="64AD3582">
      <w:pPr>
        <w:pStyle w:val="6"/>
        <w:widowControl/>
        <w:shd w:val="clear" w:color="auto" w:fill="FFFFFF"/>
        <w:spacing w:beforeAutospacing="0" w:afterAutospacing="0" w:line="480" w:lineRule="atLeast"/>
        <w:jc w:val="both"/>
        <w:rPr>
          <w:rFonts w:hint="default" w:cs="宋体"/>
          <w:color w:val="333333"/>
        </w:rPr>
      </w:pPr>
      <w:r>
        <w:rPr>
          <w:rFonts w:cs="宋体"/>
          <w:color w:val="333333"/>
          <w:shd w:val="clear" w:color="auto" w:fill="FFFFFF"/>
        </w:rPr>
        <w:t>一、项目概况（采购标的）</w:t>
      </w:r>
    </w:p>
    <w:p w14:paraId="6F7ADF05">
      <w:pPr>
        <w:pStyle w:val="4"/>
        <w:widowControl/>
        <w:spacing w:beforeAutospacing="0" w:afterAutospacing="0" w:line="480" w:lineRule="atLeast"/>
        <w:ind w:firstLine="480"/>
        <w:jc w:val="both"/>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（一）概述</w:t>
      </w:r>
    </w:p>
    <w:p w14:paraId="354DE2A0">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本项目为福建省宁德监狱监门一体化平台项目（简称：监门一体化平台）。拟通过科学、合理、有效的系统搭建方式，将监狱人员进出管理与智能应用、安检等系统互联互动，建设一套完整的数字化、智能化、流程化的监门管理体系，有效防止未经过授权人员随意进出监门，实现对监门各通道的自动化控制和管理，使各个环节有据可查，由此实现监狱外来人员、车辆、物品管理智能化和流程化，建立起监狱监门的有序化管理机制与运行模式，提高效率。故本项目拟采购监门一体化平台。</w:t>
      </w:r>
    </w:p>
    <w:p w14:paraId="4B1F6B03">
      <w:pPr>
        <w:pStyle w:val="4"/>
        <w:widowControl/>
        <w:spacing w:beforeAutospacing="0" w:afterAutospacing="0" w:line="480" w:lineRule="atLeast"/>
        <w:ind w:firstLine="480"/>
        <w:jc w:val="both"/>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（二）建设内容</w:t>
      </w:r>
    </w:p>
    <w:p w14:paraId="2CEA04B0">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本项目，将外协进出管理、工具进出管理、刑释/零星外出管理、车道管理通过流程智能化开发，在智能触控终端，警务通手机APP上实现相关功能。本系统主要功能如下：</w:t>
      </w:r>
    </w:p>
    <w:p w14:paraId="4B89D4F2">
      <w:pPr>
        <w:pStyle w:val="4"/>
        <w:widowControl/>
        <w:spacing w:beforeAutospacing="0" w:afterAutospacing="0" w:line="480" w:lineRule="atLeast"/>
        <w:ind w:firstLine="480"/>
        <w:jc w:val="both"/>
        <w:rPr>
          <w:rFonts w:ascii="宋体" w:hAnsi="宋体" w:eastAsia="宋体" w:cs="宋体"/>
          <w:color w:val="333333"/>
          <w:shd w:val="clear" w:color="auto" w:fill="FFFFFF"/>
        </w:rPr>
      </w:pPr>
      <w:bookmarkStart w:id="0" w:name="_Toc23821"/>
      <w:bookmarkStart w:id="1" w:name="_Toc22937"/>
      <w:r>
        <w:rPr>
          <w:rFonts w:hint="eastAsia" w:ascii="宋体" w:hAnsi="宋体" w:eastAsia="宋体" w:cs="宋体"/>
          <w:color w:val="333333"/>
          <w:shd w:val="clear" w:color="auto" w:fill="FFFFFF"/>
        </w:rPr>
        <w:t>1.外协登记审批</w:t>
      </w:r>
      <w:bookmarkEnd w:id="0"/>
      <w:bookmarkEnd w:id="1"/>
    </w:p>
    <w:p w14:paraId="34CB1C88">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进监前系统需要对外协人员、车辆信息、物品工具进行登记，人员信息包括姓名、二代身份证信息、单位信息、携带工具清单、进监事由、有效期起</w:t>
      </w:r>
      <w:r>
        <w:rPr>
          <w:rFonts w:hint="eastAsia"/>
        </w:rPr>
        <w:t>止</w:t>
      </w:r>
      <w:r>
        <w:rPr>
          <w:rFonts w:hint="eastAsia" w:ascii="宋体" w:hAnsi="宋体" w:eastAsia="宋体" w:cs="宋体"/>
          <w:color w:val="333333"/>
          <w:shd w:val="clear" w:color="auto" w:fill="FFFFFF"/>
        </w:rPr>
        <w:t>时间、责任民警、责任民警部门等信息，车辆进出还包括车牌号码、车牌拍摄照片、车头拍摄照片等，登记信息可采用责任民警警务通手机填写提交并进行逐级审批。</w:t>
      </w:r>
    </w:p>
    <w:p w14:paraId="0C031C44">
      <w:pPr>
        <w:pStyle w:val="4"/>
        <w:widowControl/>
        <w:spacing w:beforeAutospacing="0" w:afterAutospacing="0" w:line="480" w:lineRule="atLeast"/>
        <w:ind w:firstLine="480"/>
        <w:jc w:val="both"/>
        <w:rPr>
          <w:rFonts w:ascii="宋体" w:hAnsi="宋体" w:eastAsia="宋体" w:cs="宋体"/>
          <w:color w:val="333333"/>
          <w:shd w:val="clear" w:color="auto" w:fill="FFFFFF"/>
        </w:rPr>
      </w:pPr>
      <w:bookmarkStart w:id="2" w:name="_Toc3779"/>
      <w:bookmarkStart w:id="3" w:name="_Toc1683"/>
      <w:r>
        <w:rPr>
          <w:rFonts w:hint="eastAsia" w:ascii="宋体" w:hAnsi="宋体" w:eastAsia="宋体" w:cs="宋体"/>
          <w:color w:val="333333"/>
          <w:shd w:val="clear" w:color="auto" w:fill="FFFFFF"/>
        </w:rPr>
        <w:t>2.车辆进出监管理</w:t>
      </w:r>
      <w:bookmarkEnd w:id="2"/>
      <w:bookmarkEnd w:id="3"/>
    </w:p>
    <w:p w14:paraId="40607F18">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车辆进出监过程中需要快速采集核对车辆信息、完整记录进出监的过程及相关环节的责任民警，防止非法车辆混入，同时为保证监区内车辆的数量和信息与实际相符，需要对进出监狱的车辆进行车牌比对核验及统计，达到对车辆进出监过程的可控、可查、可管。</w:t>
      </w:r>
    </w:p>
    <w:p w14:paraId="7E57EDE1">
      <w:pPr>
        <w:pStyle w:val="4"/>
        <w:widowControl/>
        <w:spacing w:beforeAutospacing="0" w:afterAutospacing="0" w:line="480" w:lineRule="atLeast"/>
        <w:ind w:firstLine="480"/>
        <w:jc w:val="both"/>
        <w:rPr>
          <w:rFonts w:ascii="宋体" w:hAnsi="宋体" w:eastAsia="宋体" w:cs="宋体"/>
          <w:color w:val="333333"/>
          <w:shd w:val="clear" w:color="auto" w:fill="FFFFFF"/>
        </w:rPr>
      </w:pPr>
      <w:bookmarkStart w:id="4" w:name="_Toc23110"/>
      <w:bookmarkStart w:id="5" w:name="_Toc9252"/>
      <w:r>
        <w:rPr>
          <w:rFonts w:hint="eastAsia" w:ascii="宋体" w:hAnsi="宋体" w:eastAsia="宋体" w:cs="宋体"/>
          <w:color w:val="333333"/>
          <w:shd w:val="clear" w:color="auto" w:fill="FFFFFF"/>
        </w:rPr>
        <w:t>3.物品工具登记及核销</w:t>
      </w:r>
      <w:bookmarkEnd w:id="4"/>
      <w:bookmarkEnd w:id="5"/>
    </w:p>
    <w:p w14:paraId="0B81FE2A">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实现外协物品进监登记核验和出监核销功能，支持外协人员身份证或人脸识别关联工具自动调取，可通过物品登记管理终端设备进行一对一核验清点，并统一拍摄工具照片上传，针对高危险物品可进行高亮字样标注，提交后由值班民警进行确认。</w:t>
      </w:r>
    </w:p>
    <w:p w14:paraId="629C305C">
      <w:pPr>
        <w:pStyle w:val="4"/>
        <w:widowControl/>
        <w:spacing w:beforeAutospacing="0" w:afterAutospacing="0" w:line="480" w:lineRule="atLeast"/>
        <w:ind w:firstLine="480"/>
        <w:jc w:val="both"/>
        <w:rPr>
          <w:rFonts w:ascii="宋体" w:hAnsi="宋体" w:eastAsia="宋体" w:cs="宋体"/>
          <w:color w:val="333333"/>
          <w:shd w:val="clear" w:color="auto" w:fill="FFFFFF"/>
        </w:rPr>
      </w:pPr>
      <w:bookmarkStart w:id="6" w:name="_Toc7991"/>
      <w:bookmarkStart w:id="7" w:name="_Toc30760"/>
      <w:r>
        <w:rPr>
          <w:rFonts w:hint="eastAsia" w:ascii="宋体" w:hAnsi="宋体" w:eastAsia="宋体" w:cs="宋体"/>
          <w:color w:val="333333"/>
          <w:shd w:val="clear" w:color="auto" w:fill="FFFFFF"/>
        </w:rPr>
        <w:t>4.外协人员进出监管理</w:t>
      </w:r>
      <w:bookmarkEnd w:id="6"/>
      <w:bookmarkEnd w:id="7"/>
    </w:p>
    <w:p w14:paraId="07E6B347">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外协人员审批通过后可通过人行道自助终端设备进行人脸采集核验并由陪同民警人脸识别绑定，由陪同民警带领进监，外协人员进出监过程中武警岗、工作区、车辆岗可实时查看系统中对应外协人员清点及照片，防止回流刑释人员混入，对整个进出监过程以及相关环节进行了闭环记录，方便事后回溯。</w:t>
      </w:r>
    </w:p>
    <w:p w14:paraId="4050AEDC">
      <w:pPr>
        <w:pStyle w:val="4"/>
        <w:widowControl/>
        <w:spacing w:beforeAutospacing="0" w:afterAutospacing="0" w:line="480" w:lineRule="atLeast"/>
        <w:ind w:firstLine="480"/>
        <w:jc w:val="both"/>
        <w:rPr>
          <w:rFonts w:ascii="宋体" w:hAnsi="宋体" w:eastAsia="宋体" w:cs="宋体"/>
          <w:color w:val="333333"/>
          <w:shd w:val="clear" w:color="auto" w:fill="FFFFFF"/>
        </w:rPr>
      </w:pPr>
      <w:bookmarkStart w:id="8" w:name="_Toc24280"/>
      <w:bookmarkStart w:id="9" w:name="_Toc6384"/>
      <w:r>
        <w:rPr>
          <w:rFonts w:hint="eastAsia" w:ascii="宋体" w:hAnsi="宋体" w:eastAsia="宋体" w:cs="宋体"/>
          <w:color w:val="333333"/>
          <w:shd w:val="clear" w:color="auto" w:fill="FFFFFF"/>
        </w:rPr>
        <w:t>5.活体生物识别</w:t>
      </w:r>
      <w:bookmarkEnd w:id="8"/>
      <w:bookmarkEnd w:id="9"/>
    </w:p>
    <w:p w14:paraId="1473D61A">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考虑到监门的重要性，需要在二大门关键区域安装可靠性较高的生物识别设备，如掌静脉识别、人脸识别等。</w:t>
      </w:r>
    </w:p>
    <w:p w14:paraId="6CA9C6D3">
      <w:pPr>
        <w:pStyle w:val="4"/>
        <w:widowControl/>
        <w:spacing w:beforeAutospacing="0" w:afterAutospacing="0" w:line="480" w:lineRule="atLeast"/>
        <w:ind w:firstLine="480"/>
        <w:jc w:val="both"/>
        <w:rPr>
          <w:rFonts w:ascii="宋体" w:hAnsi="宋体" w:eastAsia="宋体" w:cs="宋体"/>
          <w:color w:val="333333"/>
          <w:shd w:val="clear" w:color="auto" w:fill="FFFFFF"/>
        </w:rPr>
      </w:pPr>
      <w:bookmarkStart w:id="10" w:name="_Toc5183"/>
      <w:r>
        <w:rPr>
          <w:rFonts w:hint="eastAsia" w:ascii="宋体" w:hAnsi="宋体" w:eastAsia="宋体" w:cs="宋体"/>
          <w:color w:val="333333"/>
          <w:shd w:val="clear" w:color="auto" w:fill="FFFFFF"/>
        </w:rPr>
        <w:t>6.被监管人员出入管控</w:t>
      </w:r>
      <w:bookmarkEnd w:id="10"/>
    </w:p>
    <w:p w14:paraId="0D11AD62">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实现刑释人员及外诊、调监、保外就医、解回再审、案件开庭等被监管人员出入人脸生物识别，及陪同民警的绑定并同步数据到武警岗和内看守显示界面展示。</w:t>
      </w:r>
    </w:p>
    <w:p w14:paraId="31727A56">
      <w:pPr>
        <w:pStyle w:val="4"/>
        <w:widowControl/>
        <w:spacing w:beforeAutospacing="0" w:afterAutospacing="0" w:line="480" w:lineRule="atLeast"/>
        <w:ind w:firstLine="480"/>
        <w:jc w:val="both"/>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（三）采购清单</w:t>
      </w:r>
    </w:p>
    <w:p w14:paraId="7E2E34AA">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b/>
          <w:bCs/>
          <w:color w:val="000000"/>
          <w:shd w:val="clear" w:color="auto" w:fill="FFFFFF"/>
        </w:rPr>
        <w:t>核心产品：采购清单标示“◆”为核心产品：“</w:t>
      </w:r>
      <w:r>
        <w:rPr>
          <w:rFonts w:hint="eastAsia" w:ascii="宋体" w:hAnsi="宋体" w:eastAsia="宋体" w:cs="宋体"/>
          <w:color w:val="333333"/>
          <w:shd w:val="clear" w:color="auto" w:fill="FFFFFF"/>
        </w:rPr>
        <w:t>序号1-序号6的</w:t>
      </w:r>
      <w:r>
        <w:rPr>
          <w:rFonts w:hint="eastAsia" w:ascii="宋体" w:hAnsi="宋体" w:cs="宋体"/>
        </w:rPr>
        <w:t>软件系统（外协进出管理系统、工具进出管理系统、刑释/零星外出管理系统、车道管理系统、警务通手机监门管理APP、数据对接</w:t>
      </w:r>
      <w:r>
        <w:rPr>
          <w:rFonts w:hint="eastAsia" w:ascii="宋体" w:hAnsi="宋体" w:cs="宋体"/>
          <w:lang w:eastAsia="zh-CN"/>
        </w:rPr>
        <w:t>）</w:t>
      </w:r>
      <w:r>
        <w:rPr>
          <w:rFonts w:hint="eastAsia" w:ascii="宋体" w:hAnsi="宋体" w:eastAsia="宋体" w:cs="宋体"/>
          <w:color w:val="333333"/>
          <w:shd w:val="clear" w:color="auto" w:fill="FFFFFF"/>
        </w:rPr>
        <w:t>”。</w:t>
      </w:r>
    </w:p>
    <w:tbl>
      <w:tblPr>
        <w:tblStyle w:val="17"/>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731"/>
        <w:gridCol w:w="810"/>
        <w:gridCol w:w="2809"/>
        <w:gridCol w:w="725"/>
        <w:gridCol w:w="765"/>
        <w:gridCol w:w="1430"/>
      </w:tblGrid>
      <w:tr w14:paraId="2941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Align w:val="center"/>
          </w:tcPr>
          <w:p w14:paraId="4015C5D6">
            <w:pPr>
              <w:widowControl/>
              <w:spacing w:line="480" w:lineRule="exact"/>
              <w:jc w:val="center"/>
              <w:rPr>
                <w:rFonts w:ascii="宋体" w:hAnsi="宋体" w:cs="宋体"/>
                <w:kern w:val="0"/>
                <w:sz w:val="24"/>
              </w:rPr>
            </w:pPr>
            <w:r>
              <w:rPr>
                <w:rFonts w:hint="eastAsia" w:ascii="宋体" w:hAnsi="宋体" w:cs="宋体"/>
                <w:kern w:val="0"/>
                <w:sz w:val="24"/>
              </w:rPr>
              <w:t>品目号</w:t>
            </w:r>
          </w:p>
        </w:tc>
        <w:tc>
          <w:tcPr>
            <w:tcW w:w="731" w:type="dxa"/>
            <w:vAlign w:val="center"/>
          </w:tcPr>
          <w:p w14:paraId="6AA95B67">
            <w:pPr>
              <w:widowControl/>
              <w:spacing w:line="480" w:lineRule="exact"/>
              <w:jc w:val="center"/>
              <w:rPr>
                <w:rFonts w:ascii="宋体" w:hAnsi="宋体" w:cs="宋体"/>
                <w:kern w:val="0"/>
                <w:sz w:val="24"/>
              </w:rPr>
            </w:pPr>
            <w:r>
              <w:rPr>
                <w:rFonts w:hint="eastAsia" w:ascii="宋体" w:hAnsi="宋体" w:cs="宋体"/>
                <w:kern w:val="0"/>
                <w:sz w:val="24"/>
              </w:rPr>
              <w:t>序号</w:t>
            </w:r>
          </w:p>
        </w:tc>
        <w:tc>
          <w:tcPr>
            <w:tcW w:w="810" w:type="dxa"/>
            <w:vAlign w:val="center"/>
          </w:tcPr>
          <w:p w14:paraId="50D7423D">
            <w:pPr>
              <w:widowControl/>
              <w:spacing w:line="480" w:lineRule="exact"/>
              <w:jc w:val="center"/>
              <w:rPr>
                <w:rFonts w:ascii="宋体" w:hAnsi="宋体" w:cs="宋体"/>
                <w:kern w:val="0"/>
                <w:sz w:val="24"/>
              </w:rPr>
            </w:pPr>
            <w:r>
              <w:rPr>
                <w:rFonts w:hint="eastAsia" w:ascii="宋体" w:hAnsi="宋体" w:cs="宋体"/>
                <w:kern w:val="0"/>
                <w:sz w:val="24"/>
              </w:rPr>
              <w:t>类别</w:t>
            </w:r>
          </w:p>
        </w:tc>
        <w:tc>
          <w:tcPr>
            <w:tcW w:w="2809" w:type="dxa"/>
            <w:vAlign w:val="center"/>
          </w:tcPr>
          <w:p w14:paraId="1B534892">
            <w:pPr>
              <w:widowControl/>
              <w:spacing w:line="480" w:lineRule="exact"/>
              <w:jc w:val="center"/>
              <w:rPr>
                <w:rFonts w:ascii="宋体" w:hAnsi="宋体" w:cs="宋体"/>
                <w:kern w:val="0"/>
                <w:sz w:val="24"/>
              </w:rPr>
            </w:pPr>
            <w:r>
              <w:rPr>
                <w:rFonts w:hint="eastAsia" w:ascii="宋体" w:hAnsi="宋体" w:cs="宋体"/>
                <w:kern w:val="0"/>
                <w:sz w:val="24"/>
              </w:rPr>
              <w:t>标的名称</w:t>
            </w:r>
          </w:p>
        </w:tc>
        <w:tc>
          <w:tcPr>
            <w:tcW w:w="725" w:type="dxa"/>
            <w:vAlign w:val="center"/>
          </w:tcPr>
          <w:p w14:paraId="1E091E82">
            <w:pPr>
              <w:widowControl/>
              <w:spacing w:line="480" w:lineRule="exact"/>
              <w:jc w:val="center"/>
              <w:rPr>
                <w:rFonts w:ascii="宋体" w:hAnsi="宋体" w:cs="宋体"/>
                <w:kern w:val="0"/>
                <w:sz w:val="24"/>
              </w:rPr>
            </w:pPr>
            <w:r>
              <w:rPr>
                <w:rFonts w:hint="eastAsia" w:ascii="宋体" w:hAnsi="宋体" w:cs="宋体"/>
                <w:kern w:val="0"/>
                <w:sz w:val="24"/>
              </w:rPr>
              <w:t>数量</w:t>
            </w:r>
          </w:p>
        </w:tc>
        <w:tc>
          <w:tcPr>
            <w:tcW w:w="765" w:type="dxa"/>
            <w:vAlign w:val="center"/>
          </w:tcPr>
          <w:p w14:paraId="50C7C5EC">
            <w:pPr>
              <w:widowControl/>
              <w:spacing w:line="480" w:lineRule="exact"/>
              <w:jc w:val="center"/>
              <w:rPr>
                <w:rFonts w:ascii="宋体" w:hAnsi="宋体" w:cs="宋体"/>
                <w:kern w:val="0"/>
                <w:sz w:val="24"/>
              </w:rPr>
            </w:pPr>
            <w:r>
              <w:rPr>
                <w:rFonts w:hint="eastAsia" w:ascii="宋体" w:hAnsi="宋体" w:cs="宋体"/>
                <w:kern w:val="0"/>
                <w:sz w:val="24"/>
              </w:rPr>
              <w:t>单位</w:t>
            </w:r>
          </w:p>
        </w:tc>
        <w:tc>
          <w:tcPr>
            <w:tcW w:w="1430" w:type="dxa"/>
            <w:vAlign w:val="center"/>
          </w:tcPr>
          <w:p w14:paraId="1AFB0563">
            <w:pPr>
              <w:widowControl/>
              <w:spacing w:line="480" w:lineRule="exact"/>
              <w:jc w:val="center"/>
              <w:rPr>
                <w:rFonts w:ascii="宋体" w:hAnsi="宋体" w:eastAsia="宋体" w:cs="宋体"/>
                <w:kern w:val="0"/>
                <w:sz w:val="24"/>
              </w:rPr>
            </w:pPr>
            <w:r>
              <w:rPr>
                <w:rFonts w:hint="eastAsia" w:ascii="宋体" w:hAnsi="宋体" w:cs="宋体"/>
                <w:kern w:val="0"/>
                <w:sz w:val="24"/>
              </w:rPr>
              <w:t>最高限价（元）</w:t>
            </w:r>
          </w:p>
        </w:tc>
      </w:tr>
      <w:tr w14:paraId="0B06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03" w:type="dxa"/>
            <w:vMerge w:val="restart"/>
            <w:vAlign w:val="center"/>
          </w:tcPr>
          <w:p w14:paraId="0A702D9C">
            <w:pPr>
              <w:widowControl/>
              <w:spacing w:line="480" w:lineRule="exact"/>
              <w:jc w:val="center"/>
              <w:rPr>
                <w:rFonts w:ascii="宋体" w:hAnsi="宋体" w:cs="宋体"/>
                <w:kern w:val="0"/>
                <w:sz w:val="24"/>
              </w:rPr>
            </w:pPr>
            <w:r>
              <w:rPr>
                <w:rFonts w:hint="eastAsia" w:ascii="宋体" w:hAnsi="宋体" w:cs="宋体"/>
                <w:kern w:val="0"/>
                <w:sz w:val="24"/>
              </w:rPr>
              <w:t>1-1</w:t>
            </w:r>
          </w:p>
        </w:tc>
        <w:tc>
          <w:tcPr>
            <w:tcW w:w="731" w:type="dxa"/>
            <w:vAlign w:val="center"/>
          </w:tcPr>
          <w:p w14:paraId="04D3B784">
            <w:pPr>
              <w:widowControl/>
              <w:spacing w:line="480" w:lineRule="exact"/>
              <w:jc w:val="center"/>
              <w:rPr>
                <w:rFonts w:ascii="宋体" w:hAnsi="宋体" w:cs="宋体"/>
                <w:kern w:val="0"/>
                <w:sz w:val="24"/>
              </w:rPr>
            </w:pPr>
            <w:r>
              <w:rPr>
                <w:rFonts w:hint="eastAsia" w:ascii="宋体" w:hAnsi="宋体" w:cs="宋体"/>
                <w:kern w:val="0"/>
                <w:sz w:val="24"/>
              </w:rPr>
              <w:t>1</w:t>
            </w:r>
          </w:p>
        </w:tc>
        <w:tc>
          <w:tcPr>
            <w:tcW w:w="810" w:type="dxa"/>
            <w:vMerge w:val="restart"/>
            <w:vAlign w:val="center"/>
          </w:tcPr>
          <w:p w14:paraId="429C0D54">
            <w:pPr>
              <w:widowControl/>
              <w:spacing w:line="480" w:lineRule="exact"/>
              <w:jc w:val="center"/>
              <w:rPr>
                <w:rFonts w:ascii="宋体" w:hAnsi="宋体" w:eastAsia="宋体" w:cs="宋体"/>
                <w:kern w:val="0"/>
                <w:sz w:val="24"/>
              </w:rPr>
            </w:pPr>
            <w:r>
              <w:rPr>
                <w:rFonts w:hint="eastAsia" w:ascii="宋体" w:hAnsi="宋体" w:cs="宋体"/>
                <w:kern w:val="0"/>
                <w:sz w:val="24"/>
              </w:rPr>
              <w:t>软件系统</w:t>
            </w:r>
          </w:p>
        </w:tc>
        <w:tc>
          <w:tcPr>
            <w:tcW w:w="2809" w:type="dxa"/>
            <w:vAlign w:val="center"/>
          </w:tcPr>
          <w:p w14:paraId="142CDF7C">
            <w:pPr>
              <w:widowControl/>
              <w:spacing w:line="480" w:lineRule="exact"/>
              <w:jc w:val="center"/>
              <w:rPr>
                <w:rFonts w:ascii="宋体" w:hAnsi="宋体" w:cs="宋体"/>
                <w:kern w:val="0"/>
                <w:sz w:val="24"/>
              </w:rPr>
            </w:pPr>
            <w:r>
              <w:rPr>
                <w:rFonts w:hint="eastAsia" w:ascii="宋体" w:hAnsi="宋体" w:eastAsia="宋体" w:cs="宋体"/>
                <w:b/>
                <w:bCs/>
                <w:color w:val="000000"/>
                <w:sz w:val="24"/>
                <w:shd w:val="clear" w:color="auto" w:fill="FFFFFF"/>
              </w:rPr>
              <w:t>◆</w:t>
            </w:r>
            <w:r>
              <w:rPr>
                <w:rFonts w:hint="eastAsia" w:ascii="宋体" w:hAnsi="宋体" w:cs="宋体"/>
                <w:kern w:val="0"/>
                <w:sz w:val="24"/>
              </w:rPr>
              <w:t>外协进出管理系统</w:t>
            </w:r>
          </w:p>
        </w:tc>
        <w:tc>
          <w:tcPr>
            <w:tcW w:w="725" w:type="dxa"/>
            <w:vAlign w:val="center"/>
          </w:tcPr>
          <w:p w14:paraId="5D8F020E">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1</w:t>
            </w:r>
          </w:p>
        </w:tc>
        <w:tc>
          <w:tcPr>
            <w:tcW w:w="765" w:type="dxa"/>
            <w:vAlign w:val="center"/>
          </w:tcPr>
          <w:p w14:paraId="6A4F7717">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套</w:t>
            </w:r>
          </w:p>
        </w:tc>
        <w:tc>
          <w:tcPr>
            <w:tcW w:w="1430" w:type="dxa"/>
            <w:vAlign w:val="center"/>
          </w:tcPr>
          <w:p w14:paraId="65909B4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178000</w:t>
            </w:r>
          </w:p>
        </w:tc>
      </w:tr>
      <w:tr w14:paraId="740F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Merge w:val="continue"/>
            <w:vAlign w:val="center"/>
          </w:tcPr>
          <w:p w14:paraId="0991294D">
            <w:pPr>
              <w:widowControl/>
              <w:spacing w:line="480" w:lineRule="exact"/>
              <w:jc w:val="center"/>
              <w:rPr>
                <w:rFonts w:ascii="宋体" w:hAnsi="宋体" w:cs="宋体"/>
                <w:kern w:val="0"/>
                <w:sz w:val="24"/>
              </w:rPr>
            </w:pPr>
          </w:p>
        </w:tc>
        <w:tc>
          <w:tcPr>
            <w:tcW w:w="731" w:type="dxa"/>
            <w:vAlign w:val="center"/>
          </w:tcPr>
          <w:p w14:paraId="4F548B51">
            <w:pPr>
              <w:widowControl/>
              <w:spacing w:line="480" w:lineRule="exact"/>
              <w:jc w:val="center"/>
              <w:rPr>
                <w:rFonts w:ascii="宋体" w:hAnsi="宋体" w:cs="宋体"/>
                <w:kern w:val="0"/>
                <w:sz w:val="24"/>
              </w:rPr>
            </w:pPr>
            <w:r>
              <w:rPr>
                <w:rFonts w:hint="eastAsia" w:ascii="宋体" w:hAnsi="宋体" w:cs="宋体"/>
                <w:kern w:val="0"/>
                <w:sz w:val="24"/>
              </w:rPr>
              <w:t>2</w:t>
            </w:r>
          </w:p>
        </w:tc>
        <w:tc>
          <w:tcPr>
            <w:tcW w:w="810" w:type="dxa"/>
            <w:vMerge w:val="continue"/>
            <w:vAlign w:val="center"/>
          </w:tcPr>
          <w:p w14:paraId="37E7FA3F">
            <w:pPr>
              <w:widowControl/>
              <w:spacing w:line="480" w:lineRule="exact"/>
              <w:jc w:val="center"/>
              <w:rPr>
                <w:rFonts w:ascii="宋体" w:hAnsi="宋体" w:cs="宋体"/>
                <w:kern w:val="0"/>
                <w:sz w:val="24"/>
              </w:rPr>
            </w:pPr>
          </w:p>
        </w:tc>
        <w:tc>
          <w:tcPr>
            <w:tcW w:w="2809" w:type="dxa"/>
            <w:vAlign w:val="center"/>
          </w:tcPr>
          <w:p w14:paraId="3A2BD839">
            <w:pPr>
              <w:widowControl/>
              <w:spacing w:line="480" w:lineRule="exact"/>
              <w:jc w:val="center"/>
              <w:rPr>
                <w:rFonts w:ascii="宋体" w:hAnsi="宋体" w:cs="宋体"/>
                <w:kern w:val="0"/>
                <w:sz w:val="24"/>
              </w:rPr>
            </w:pPr>
            <w:r>
              <w:rPr>
                <w:rFonts w:hint="eastAsia" w:ascii="宋体" w:hAnsi="宋体" w:eastAsia="宋体" w:cs="宋体"/>
                <w:b/>
                <w:bCs/>
                <w:color w:val="000000"/>
                <w:sz w:val="24"/>
                <w:shd w:val="clear" w:color="auto" w:fill="FFFFFF"/>
              </w:rPr>
              <w:t>◆</w:t>
            </w:r>
            <w:r>
              <w:rPr>
                <w:rFonts w:hint="eastAsia" w:ascii="宋体" w:hAnsi="宋体" w:cs="宋体"/>
                <w:kern w:val="0"/>
                <w:sz w:val="24"/>
              </w:rPr>
              <w:t>工具进出管理系统</w:t>
            </w:r>
          </w:p>
        </w:tc>
        <w:tc>
          <w:tcPr>
            <w:tcW w:w="725" w:type="dxa"/>
            <w:vAlign w:val="center"/>
          </w:tcPr>
          <w:p w14:paraId="289A83CF">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1</w:t>
            </w:r>
          </w:p>
        </w:tc>
        <w:tc>
          <w:tcPr>
            <w:tcW w:w="765" w:type="dxa"/>
            <w:vAlign w:val="center"/>
          </w:tcPr>
          <w:p w14:paraId="655BC967">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套</w:t>
            </w:r>
          </w:p>
        </w:tc>
        <w:tc>
          <w:tcPr>
            <w:tcW w:w="1430" w:type="dxa"/>
            <w:vAlign w:val="center"/>
          </w:tcPr>
          <w:p w14:paraId="72DCE3C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59000</w:t>
            </w:r>
          </w:p>
        </w:tc>
      </w:tr>
      <w:tr w14:paraId="16BC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Merge w:val="continue"/>
            <w:vAlign w:val="center"/>
          </w:tcPr>
          <w:p w14:paraId="7DD74F56">
            <w:pPr>
              <w:widowControl/>
              <w:spacing w:line="480" w:lineRule="exact"/>
              <w:jc w:val="center"/>
              <w:rPr>
                <w:rFonts w:ascii="宋体" w:hAnsi="宋体" w:cs="宋体"/>
                <w:kern w:val="0"/>
                <w:sz w:val="24"/>
              </w:rPr>
            </w:pPr>
          </w:p>
        </w:tc>
        <w:tc>
          <w:tcPr>
            <w:tcW w:w="731" w:type="dxa"/>
            <w:vAlign w:val="center"/>
          </w:tcPr>
          <w:p w14:paraId="394E99CF">
            <w:pPr>
              <w:widowControl/>
              <w:spacing w:line="480" w:lineRule="exact"/>
              <w:jc w:val="center"/>
              <w:rPr>
                <w:rFonts w:ascii="宋体" w:hAnsi="宋体" w:cs="宋体"/>
                <w:kern w:val="0"/>
                <w:sz w:val="24"/>
              </w:rPr>
            </w:pPr>
            <w:r>
              <w:rPr>
                <w:rFonts w:hint="eastAsia" w:ascii="宋体" w:hAnsi="宋体" w:cs="宋体"/>
                <w:kern w:val="0"/>
                <w:sz w:val="24"/>
              </w:rPr>
              <w:t>3</w:t>
            </w:r>
          </w:p>
        </w:tc>
        <w:tc>
          <w:tcPr>
            <w:tcW w:w="810" w:type="dxa"/>
            <w:vMerge w:val="continue"/>
            <w:vAlign w:val="center"/>
          </w:tcPr>
          <w:p w14:paraId="015811B6">
            <w:pPr>
              <w:widowControl/>
              <w:spacing w:line="480" w:lineRule="exact"/>
              <w:jc w:val="center"/>
              <w:rPr>
                <w:rFonts w:ascii="宋体" w:hAnsi="宋体" w:cs="宋体"/>
                <w:kern w:val="0"/>
                <w:sz w:val="24"/>
              </w:rPr>
            </w:pPr>
          </w:p>
        </w:tc>
        <w:tc>
          <w:tcPr>
            <w:tcW w:w="2809" w:type="dxa"/>
            <w:vAlign w:val="center"/>
          </w:tcPr>
          <w:p w14:paraId="0A2ED5C3">
            <w:pPr>
              <w:widowControl/>
              <w:spacing w:line="480" w:lineRule="exact"/>
              <w:jc w:val="center"/>
              <w:rPr>
                <w:rFonts w:ascii="宋体" w:hAnsi="宋体" w:cs="宋体"/>
                <w:kern w:val="0"/>
                <w:sz w:val="24"/>
              </w:rPr>
            </w:pPr>
            <w:r>
              <w:rPr>
                <w:rFonts w:hint="eastAsia" w:ascii="宋体" w:hAnsi="宋体" w:eastAsia="宋体" w:cs="宋体"/>
                <w:b/>
                <w:bCs/>
                <w:color w:val="000000"/>
                <w:sz w:val="24"/>
                <w:shd w:val="clear" w:color="auto" w:fill="FFFFFF"/>
              </w:rPr>
              <w:t>◆</w:t>
            </w:r>
            <w:r>
              <w:rPr>
                <w:rFonts w:hint="eastAsia" w:ascii="宋体" w:hAnsi="宋体" w:cs="宋体"/>
                <w:kern w:val="0"/>
                <w:sz w:val="24"/>
              </w:rPr>
              <w:t>刑释/零星外出管理系统</w:t>
            </w:r>
          </w:p>
        </w:tc>
        <w:tc>
          <w:tcPr>
            <w:tcW w:w="725" w:type="dxa"/>
            <w:vAlign w:val="center"/>
          </w:tcPr>
          <w:p w14:paraId="565DBB3F">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1</w:t>
            </w:r>
          </w:p>
        </w:tc>
        <w:tc>
          <w:tcPr>
            <w:tcW w:w="765" w:type="dxa"/>
            <w:vAlign w:val="center"/>
          </w:tcPr>
          <w:p w14:paraId="4AD20D7E">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套</w:t>
            </w:r>
          </w:p>
        </w:tc>
        <w:tc>
          <w:tcPr>
            <w:tcW w:w="1430" w:type="dxa"/>
            <w:vAlign w:val="center"/>
          </w:tcPr>
          <w:p w14:paraId="283AF2E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108000</w:t>
            </w:r>
          </w:p>
        </w:tc>
      </w:tr>
      <w:tr w14:paraId="0C10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Merge w:val="continue"/>
            <w:vAlign w:val="center"/>
          </w:tcPr>
          <w:p w14:paraId="1BD19814">
            <w:pPr>
              <w:widowControl/>
              <w:spacing w:line="480" w:lineRule="exact"/>
              <w:jc w:val="center"/>
              <w:rPr>
                <w:rFonts w:ascii="宋体" w:hAnsi="宋体" w:cs="宋体"/>
                <w:kern w:val="0"/>
                <w:sz w:val="24"/>
              </w:rPr>
            </w:pPr>
          </w:p>
        </w:tc>
        <w:tc>
          <w:tcPr>
            <w:tcW w:w="731" w:type="dxa"/>
            <w:vAlign w:val="center"/>
          </w:tcPr>
          <w:p w14:paraId="55F4A4F6">
            <w:pPr>
              <w:widowControl/>
              <w:spacing w:line="480" w:lineRule="exact"/>
              <w:jc w:val="center"/>
              <w:rPr>
                <w:rFonts w:ascii="宋体" w:hAnsi="宋体" w:cs="宋体"/>
                <w:kern w:val="0"/>
                <w:sz w:val="24"/>
              </w:rPr>
            </w:pPr>
            <w:r>
              <w:rPr>
                <w:rFonts w:hint="eastAsia" w:ascii="宋体" w:hAnsi="宋体" w:cs="宋体"/>
                <w:kern w:val="0"/>
                <w:sz w:val="24"/>
              </w:rPr>
              <w:t>4</w:t>
            </w:r>
          </w:p>
        </w:tc>
        <w:tc>
          <w:tcPr>
            <w:tcW w:w="810" w:type="dxa"/>
            <w:vMerge w:val="continue"/>
            <w:vAlign w:val="center"/>
          </w:tcPr>
          <w:p w14:paraId="736BDC93">
            <w:pPr>
              <w:widowControl/>
              <w:spacing w:line="480" w:lineRule="exact"/>
              <w:jc w:val="center"/>
              <w:rPr>
                <w:rFonts w:ascii="宋体" w:hAnsi="宋体" w:cs="宋体"/>
                <w:kern w:val="0"/>
                <w:sz w:val="24"/>
              </w:rPr>
            </w:pPr>
          </w:p>
        </w:tc>
        <w:tc>
          <w:tcPr>
            <w:tcW w:w="2809" w:type="dxa"/>
            <w:vAlign w:val="center"/>
          </w:tcPr>
          <w:p w14:paraId="3F4846BC">
            <w:pPr>
              <w:widowControl/>
              <w:spacing w:line="480" w:lineRule="exact"/>
              <w:jc w:val="center"/>
              <w:rPr>
                <w:rFonts w:ascii="宋体" w:hAnsi="宋体" w:cs="宋体"/>
                <w:kern w:val="0"/>
                <w:sz w:val="24"/>
              </w:rPr>
            </w:pPr>
            <w:r>
              <w:rPr>
                <w:rFonts w:hint="eastAsia" w:ascii="宋体" w:hAnsi="宋体" w:eastAsia="宋体" w:cs="宋体"/>
                <w:b/>
                <w:bCs/>
                <w:color w:val="000000"/>
                <w:sz w:val="24"/>
                <w:shd w:val="clear" w:color="auto" w:fill="FFFFFF"/>
              </w:rPr>
              <w:t>◆</w:t>
            </w:r>
            <w:r>
              <w:rPr>
                <w:rFonts w:hint="eastAsia" w:ascii="宋体" w:hAnsi="宋体" w:cs="宋体"/>
                <w:kern w:val="0"/>
                <w:sz w:val="24"/>
              </w:rPr>
              <w:t>车道管理系统</w:t>
            </w:r>
          </w:p>
        </w:tc>
        <w:tc>
          <w:tcPr>
            <w:tcW w:w="725" w:type="dxa"/>
            <w:vAlign w:val="center"/>
          </w:tcPr>
          <w:p w14:paraId="6A9CAFE6">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1</w:t>
            </w:r>
          </w:p>
        </w:tc>
        <w:tc>
          <w:tcPr>
            <w:tcW w:w="765" w:type="dxa"/>
            <w:vAlign w:val="center"/>
          </w:tcPr>
          <w:p w14:paraId="351A623C">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套</w:t>
            </w:r>
          </w:p>
        </w:tc>
        <w:tc>
          <w:tcPr>
            <w:tcW w:w="1430" w:type="dxa"/>
            <w:vAlign w:val="center"/>
          </w:tcPr>
          <w:p w14:paraId="5AE9746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95000</w:t>
            </w:r>
          </w:p>
        </w:tc>
      </w:tr>
      <w:tr w14:paraId="7417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Merge w:val="continue"/>
            <w:vAlign w:val="center"/>
          </w:tcPr>
          <w:p w14:paraId="013B0ABC">
            <w:pPr>
              <w:widowControl/>
              <w:spacing w:line="480" w:lineRule="exact"/>
              <w:jc w:val="center"/>
              <w:rPr>
                <w:rFonts w:ascii="宋体" w:hAnsi="宋体" w:cs="宋体"/>
                <w:kern w:val="0"/>
                <w:sz w:val="24"/>
              </w:rPr>
            </w:pPr>
          </w:p>
        </w:tc>
        <w:tc>
          <w:tcPr>
            <w:tcW w:w="731" w:type="dxa"/>
            <w:vAlign w:val="center"/>
          </w:tcPr>
          <w:p w14:paraId="23EE60C8">
            <w:pPr>
              <w:widowControl/>
              <w:spacing w:line="480" w:lineRule="exact"/>
              <w:jc w:val="center"/>
              <w:rPr>
                <w:rFonts w:ascii="宋体" w:hAnsi="宋体" w:cs="宋体"/>
                <w:kern w:val="0"/>
                <w:sz w:val="24"/>
              </w:rPr>
            </w:pPr>
            <w:r>
              <w:rPr>
                <w:rFonts w:hint="eastAsia" w:ascii="宋体" w:hAnsi="宋体" w:cs="宋体"/>
                <w:kern w:val="0"/>
                <w:sz w:val="24"/>
              </w:rPr>
              <w:t>5</w:t>
            </w:r>
          </w:p>
        </w:tc>
        <w:tc>
          <w:tcPr>
            <w:tcW w:w="810" w:type="dxa"/>
            <w:vMerge w:val="continue"/>
            <w:vAlign w:val="center"/>
          </w:tcPr>
          <w:p w14:paraId="20242633">
            <w:pPr>
              <w:widowControl/>
              <w:spacing w:line="480" w:lineRule="exact"/>
              <w:jc w:val="center"/>
              <w:rPr>
                <w:rFonts w:ascii="宋体" w:hAnsi="宋体" w:cs="宋体"/>
                <w:kern w:val="0"/>
                <w:sz w:val="24"/>
              </w:rPr>
            </w:pPr>
          </w:p>
        </w:tc>
        <w:tc>
          <w:tcPr>
            <w:tcW w:w="2809" w:type="dxa"/>
            <w:vAlign w:val="center"/>
          </w:tcPr>
          <w:p w14:paraId="1B71B616">
            <w:pPr>
              <w:widowControl/>
              <w:spacing w:line="480" w:lineRule="exact"/>
              <w:jc w:val="center"/>
              <w:rPr>
                <w:rFonts w:ascii="宋体" w:hAnsi="宋体" w:cs="宋体"/>
                <w:kern w:val="0"/>
                <w:sz w:val="24"/>
              </w:rPr>
            </w:pPr>
            <w:r>
              <w:rPr>
                <w:rFonts w:hint="eastAsia" w:ascii="宋体" w:hAnsi="宋体" w:eastAsia="宋体" w:cs="宋体"/>
                <w:b/>
                <w:bCs/>
                <w:color w:val="000000"/>
                <w:sz w:val="24"/>
                <w:shd w:val="clear" w:color="auto" w:fill="FFFFFF"/>
              </w:rPr>
              <w:t>◆</w:t>
            </w:r>
            <w:r>
              <w:rPr>
                <w:rFonts w:hint="eastAsia" w:ascii="宋体" w:hAnsi="宋体" w:cs="宋体"/>
                <w:kern w:val="0"/>
                <w:sz w:val="24"/>
              </w:rPr>
              <w:t>警务通手机监门管理APP</w:t>
            </w:r>
          </w:p>
        </w:tc>
        <w:tc>
          <w:tcPr>
            <w:tcW w:w="725" w:type="dxa"/>
            <w:vAlign w:val="center"/>
          </w:tcPr>
          <w:p w14:paraId="46E82517">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1</w:t>
            </w:r>
          </w:p>
        </w:tc>
        <w:tc>
          <w:tcPr>
            <w:tcW w:w="765" w:type="dxa"/>
            <w:vAlign w:val="center"/>
          </w:tcPr>
          <w:p w14:paraId="5BFAFF8F">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套</w:t>
            </w:r>
          </w:p>
        </w:tc>
        <w:tc>
          <w:tcPr>
            <w:tcW w:w="1430" w:type="dxa"/>
            <w:vAlign w:val="center"/>
          </w:tcPr>
          <w:p w14:paraId="510E367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97000</w:t>
            </w:r>
          </w:p>
        </w:tc>
      </w:tr>
      <w:tr w14:paraId="27CD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Merge w:val="continue"/>
            <w:vAlign w:val="center"/>
          </w:tcPr>
          <w:p w14:paraId="3AFD715E">
            <w:pPr>
              <w:widowControl/>
              <w:spacing w:line="480" w:lineRule="exact"/>
              <w:jc w:val="center"/>
              <w:rPr>
                <w:rFonts w:ascii="宋体" w:hAnsi="宋体" w:cs="宋体"/>
                <w:kern w:val="0"/>
                <w:sz w:val="24"/>
              </w:rPr>
            </w:pPr>
          </w:p>
        </w:tc>
        <w:tc>
          <w:tcPr>
            <w:tcW w:w="731" w:type="dxa"/>
            <w:vAlign w:val="center"/>
          </w:tcPr>
          <w:p w14:paraId="5C5C12CA">
            <w:pPr>
              <w:widowControl/>
              <w:spacing w:line="480" w:lineRule="exact"/>
              <w:jc w:val="center"/>
              <w:rPr>
                <w:rFonts w:ascii="宋体" w:hAnsi="宋体" w:cs="宋体"/>
                <w:kern w:val="0"/>
                <w:sz w:val="24"/>
              </w:rPr>
            </w:pPr>
            <w:r>
              <w:rPr>
                <w:rFonts w:hint="eastAsia" w:ascii="宋体" w:hAnsi="宋体" w:cs="宋体"/>
                <w:kern w:val="0"/>
                <w:sz w:val="24"/>
              </w:rPr>
              <w:t>6</w:t>
            </w:r>
          </w:p>
        </w:tc>
        <w:tc>
          <w:tcPr>
            <w:tcW w:w="810" w:type="dxa"/>
            <w:vMerge w:val="continue"/>
            <w:vAlign w:val="center"/>
          </w:tcPr>
          <w:p w14:paraId="054D802F">
            <w:pPr>
              <w:widowControl/>
              <w:spacing w:line="480" w:lineRule="exact"/>
              <w:jc w:val="center"/>
              <w:rPr>
                <w:rFonts w:ascii="宋体" w:hAnsi="宋体" w:cs="宋体"/>
                <w:kern w:val="0"/>
                <w:sz w:val="24"/>
              </w:rPr>
            </w:pPr>
          </w:p>
        </w:tc>
        <w:tc>
          <w:tcPr>
            <w:tcW w:w="2809" w:type="dxa"/>
            <w:vAlign w:val="center"/>
          </w:tcPr>
          <w:p w14:paraId="1958C95E">
            <w:pPr>
              <w:widowControl/>
              <w:spacing w:line="480" w:lineRule="exact"/>
              <w:jc w:val="center"/>
              <w:rPr>
                <w:rFonts w:ascii="宋体" w:hAnsi="宋体" w:cs="宋体"/>
                <w:kern w:val="0"/>
                <w:sz w:val="24"/>
              </w:rPr>
            </w:pPr>
            <w:r>
              <w:rPr>
                <w:rFonts w:hint="eastAsia" w:ascii="宋体" w:hAnsi="宋体" w:eastAsia="宋体" w:cs="宋体"/>
                <w:b/>
                <w:bCs/>
                <w:color w:val="000000"/>
                <w:sz w:val="24"/>
                <w:shd w:val="clear" w:color="auto" w:fill="FFFFFF"/>
              </w:rPr>
              <w:t>◆</w:t>
            </w:r>
            <w:r>
              <w:rPr>
                <w:rFonts w:hint="eastAsia" w:ascii="宋体" w:hAnsi="宋体" w:cs="宋体"/>
                <w:kern w:val="0"/>
                <w:sz w:val="24"/>
              </w:rPr>
              <w:t>数据对接</w:t>
            </w:r>
          </w:p>
        </w:tc>
        <w:tc>
          <w:tcPr>
            <w:tcW w:w="725" w:type="dxa"/>
            <w:vAlign w:val="center"/>
          </w:tcPr>
          <w:p w14:paraId="58881E7E">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1</w:t>
            </w:r>
          </w:p>
        </w:tc>
        <w:tc>
          <w:tcPr>
            <w:tcW w:w="765" w:type="dxa"/>
            <w:vAlign w:val="center"/>
          </w:tcPr>
          <w:p w14:paraId="5B9BDCD6">
            <w:pPr>
              <w:widowControl/>
              <w:jc w:val="center"/>
              <w:textAlignment w:val="center"/>
              <w:rPr>
                <w:rFonts w:ascii="宋体" w:hAnsi="宋体" w:eastAsia="宋体" w:cs="宋体"/>
                <w:kern w:val="0"/>
                <w:sz w:val="24"/>
              </w:rPr>
            </w:pPr>
            <w:r>
              <w:rPr>
                <w:rFonts w:hint="eastAsia" w:ascii="宋体" w:hAnsi="宋体" w:cs="宋体"/>
                <w:color w:val="000000"/>
                <w:kern w:val="0"/>
                <w:sz w:val="24"/>
              </w:rPr>
              <w:t>套</w:t>
            </w:r>
          </w:p>
        </w:tc>
        <w:tc>
          <w:tcPr>
            <w:tcW w:w="1430" w:type="dxa"/>
            <w:vAlign w:val="center"/>
          </w:tcPr>
          <w:p w14:paraId="57E1564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36000</w:t>
            </w:r>
          </w:p>
        </w:tc>
      </w:tr>
      <w:tr w14:paraId="0E47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Merge w:val="continue"/>
            <w:vAlign w:val="center"/>
          </w:tcPr>
          <w:p w14:paraId="266D1398">
            <w:pPr>
              <w:widowControl/>
              <w:spacing w:line="480" w:lineRule="exact"/>
              <w:jc w:val="center"/>
              <w:rPr>
                <w:rFonts w:ascii="宋体" w:hAnsi="宋体" w:cs="宋体"/>
                <w:kern w:val="0"/>
                <w:sz w:val="24"/>
              </w:rPr>
            </w:pPr>
          </w:p>
        </w:tc>
        <w:tc>
          <w:tcPr>
            <w:tcW w:w="731" w:type="dxa"/>
            <w:vAlign w:val="center"/>
          </w:tcPr>
          <w:p w14:paraId="199830EA">
            <w:pPr>
              <w:widowControl/>
              <w:spacing w:line="480" w:lineRule="exact"/>
              <w:jc w:val="center"/>
              <w:rPr>
                <w:rFonts w:ascii="宋体" w:hAnsi="宋体" w:eastAsia="宋体" w:cs="宋体"/>
                <w:kern w:val="0"/>
                <w:sz w:val="24"/>
              </w:rPr>
            </w:pPr>
            <w:r>
              <w:rPr>
                <w:rFonts w:hint="eastAsia" w:ascii="宋体" w:hAnsi="宋体" w:cs="宋体"/>
                <w:kern w:val="0"/>
                <w:sz w:val="24"/>
              </w:rPr>
              <w:t>7</w:t>
            </w:r>
          </w:p>
        </w:tc>
        <w:tc>
          <w:tcPr>
            <w:tcW w:w="810" w:type="dxa"/>
            <w:vMerge w:val="restart"/>
            <w:vAlign w:val="center"/>
          </w:tcPr>
          <w:p w14:paraId="5CBB9CAD">
            <w:pPr>
              <w:widowControl/>
              <w:spacing w:line="480" w:lineRule="exact"/>
              <w:jc w:val="center"/>
              <w:rPr>
                <w:rFonts w:ascii="宋体" w:hAnsi="宋体" w:eastAsia="宋体" w:cs="宋体"/>
                <w:kern w:val="0"/>
                <w:sz w:val="24"/>
              </w:rPr>
            </w:pPr>
            <w:r>
              <w:rPr>
                <w:rFonts w:hint="eastAsia" w:ascii="宋体" w:hAnsi="宋体" w:cs="宋体"/>
                <w:kern w:val="0"/>
                <w:sz w:val="24"/>
              </w:rPr>
              <w:t>硬件</w:t>
            </w:r>
          </w:p>
        </w:tc>
        <w:tc>
          <w:tcPr>
            <w:tcW w:w="2809" w:type="dxa"/>
            <w:vAlign w:val="center"/>
          </w:tcPr>
          <w:p w14:paraId="32110602">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外协自助终端</w:t>
            </w:r>
          </w:p>
        </w:tc>
        <w:tc>
          <w:tcPr>
            <w:tcW w:w="725" w:type="dxa"/>
            <w:vAlign w:val="center"/>
          </w:tcPr>
          <w:p w14:paraId="4D72155D">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2</w:t>
            </w:r>
          </w:p>
        </w:tc>
        <w:tc>
          <w:tcPr>
            <w:tcW w:w="765" w:type="dxa"/>
            <w:vAlign w:val="center"/>
          </w:tcPr>
          <w:p w14:paraId="4C0F5681">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台</w:t>
            </w:r>
          </w:p>
        </w:tc>
        <w:tc>
          <w:tcPr>
            <w:tcW w:w="1430" w:type="dxa"/>
            <w:vAlign w:val="center"/>
          </w:tcPr>
          <w:p w14:paraId="1E4ECF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59800</w:t>
            </w:r>
          </w:p>
        </w:tc>
      </w:tr>
      <w:tr w14:paraId="4702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Merge w:val="continue"/>
            <w:vAlign w:val="center"/>
          </w:tcPr>
          <w:p w14:paraId="45C0E52A">
            <w:pPr>
              <w:widowControl/>
              <w:spacing w:line="480" w:lineRule="exact"/>
              <w:jc w:val="center"/>
              <w:rPr>
                <w:rFonts w:ascii="宋体" w:hAnsi="宋体" w:cs="宋体"/>
                <w:kern w:val="0"/>
                <w:sz w:val="24"/>
              </w:rPr>
            </w:pPr>
          </w:p>
        </w:tc>
        <w:tc>
          <w:tcPr>
            <w:tcW w:w="731" w:type="dxa"/>
            <w:vAlign w:val="center"/>
          </w:tcPr>
          <w:p w14:paraId="1DE387AD">
            <w:pPr>
              <w:widowControl/>
              <w:spacing w:line="480" w:lineRule="exact"/>
              <w:jc w:val="center"/>
              <w:rPr>
                <w:rFonts w:ascii="宋体" w:hAnsi="宋体" w:eastAsia="宋体" w:cs="宋体"/>
                <w:kern w:val="0"/>
                <w:sz w:val="24"/>
              </w:rPr>
            </w:pPr>
            <w:r>
              <w:rPr>
                <w:rFonts w:hint="eastAsia" w:ascii="宋体" w:hAnsi="宋体" w:cs="宋体"/>
                <w:kern w:val="0"/>
                <w:sz w:val="24"/>
              </w:rPr>
              <w:t>8</w:t>
            </w:r>
          </w:p>
        </w:tc>
        <w:tc>
          <w:tcPr>
            <w:tcW w:w="810" w:type="dxa"/>
            <w:vMerge w:val="continue"/>
            <w:vAlign w:val="center"/>
          </w:tcPr>
          <w:p w14:paraId="042D3FC7">
            <w:pPr>
              <w:widowControl/>
              <w:spacing w:line="480" w:lineRule="exact"/>
              <w:jc w:val="center"/>
              <w:rPr>
                <w:rFonts w:ascii="宋体" w:hAnsi="宋体" w:cs="宋体"/>
                <w:kern w:val="0"/>
                <w:sz w:val="24"/>
              </w:rPr>
            </w:pPr>
          </w:p>
        </w:tc>
        <w:tc>
          <w:tcPr>
            <w:tcW w:w="2809" w:type="dxa"/>
            <w:vAlign w:val="center"/>
          </w:tcPr>
          <w:p w14:paraId="08409292">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外协出监核验终端</w:t>
            </w:r>
          </w:p>
        </w:tc>
        <w:tc>
          <w:tcPr>
            <w:tcW w:w="725" w:type="dxa"/>
            <w:vAlign w:val="center"/>
          </w:tcPr>
          <w:p w14:paraId="0F1B1694">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1</w:t>
            </w:r>
          </w:p>
        </w:tc>
        <w:tc>
          <w:tcPr>
            <w:tcW w:w="765" w:type="dxa"/>
            <w:vAlign w:val="center"/>
          </w:tcPr>
          <w:p w14:paraId="61FACB4A">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台</w:t>
            </w:r>
          </w:p>
        </w:tc>
        <w:tc>
          <w:tcPr>
            <w:tcW w:w="1430" w:type="dxa"/>
            <w:vAlign w:val="center"/>
          </w:tcPr>
          <w:p w14:paraId="6531C19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3300</w:t>
            </w:r>
          </w:p>
        </w:tc>
      </w:tr>
      <w:tr w14:paraId="1B3F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Merge w:val="continue"/>
            <w:vAlign w:val="center"/>
          </w:tcPr>
          <w:p w14:paraId="29272554">
            <w:pPr>
              <w:widowControl/>
              <w:spacing w:line="480" w:lineRule="exact"/>
              <w:jc w:val="center"/>
              <w:rPr>
                <w:rFonts w:ascii="宋体" w:hAnsi="宋体" w:cs="宋体"/>
                <w:kern w:val="0"/>
                <w:sz w:val="24"/>
              </w:rPr>
            </w:pPr>
          </w:p>
        </w:tc>
        <w:tc>
          <w:tcPr>
            <w:tcW w:w="731" w:type="dxa"/>
            <w:vAlign w:val="center"/>
          </w:tcPr>
          <w:p w14:paraId="16171913">
            <w:pPr>
              <w:widowControl/>
              <w:spacing w:line="480" w:lineRule="exact"/>
              <w:jc w:val="center"/>
              <w:rPr>
                <w:rFonts w:ascii="宋体" w:hAnsi="宋体" w:eastAsia="宋体" w:cs="宋体"/>
                <w:kern w:val="0"/>
                <w:sz w:val="24"/>
              </w:rPr>
            </w:pPr>
            <w:r>
              <w:rPr>
                <w:rFonts w:hint="eastAsia" w:ascii="宋体" w:hAnsi="宋体" w:cs="宋体"/>
                <w:kern w:val="0"/>
                <w:sz w:val="24"/>
              </w:rPr>
              <w:t>9</w:t>
            </w:r>
          </w:p>
        </w:tc>
        <w:tc>
          <w:tcPr>
            <w:tcW w:w="810" w:type="dxa"/>
            <w:vMerge w:val="continue"/>
            <w:vAlign w:val="center"/>
          </w:tcPr>
          <w:p w14:paraId="6F374E5F">
            <w:pPr>
              <w:widowControl/>
              <w:spacing w:line="480" w:lineRule="exact"/>
              <w:jc w:val="center"/>
              <w:rPr>
                <w:rFonts w:ascii="宋体" w:hAnsi="宋体" w:cs="宋体"/>
                <w:kern w:val="0"/>
                <w:sz w:val="24"/>
              </w:rPr>
            </w:pPr>
          </w:p>
        </w:tc>
        <w:tc>
          <w:tcPr>
            <w:tcW w:w="2809" w:type="dxa"/>
            <w:vAlign w:val="center"/>
          </w:tcPr>
          <w:p w14:paraId="41C7DCAA">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物品核验管理终端</w:t>
            </w:r>
          </w:p>
        </w:tc>
        <w:tc>
          <w:tcPr>
            <w:tcW w:w="725" w:type="dxa"/>
            <w:vAlign w:val="center"/>
          </w:tcPr>
          <w:p w14:paraId="2AEE872C">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2</w:t>
            </w:r>
          </w:p>
        </w:tc>
        <w:tc>
          <w:tcPr>
            <w:tcW w:w="765" w:type="dxa"/>
            <w:vAlign w:val="center"/>
          </w:tcPr>
          <w:p w14:paraId="756A388D">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台</w:t>
            </w:r>
          </w:p>
        </w:tc>
        <w:tc>
          <w:tcPr>
            <w:tcW w:w="1430" w:type="dxa"/>
            <w:vAlign w:val="center"/>
          </w:tcPr>
          <w:p w14:paraId="6D163B4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18600</w:t>
            </w:r>
          </w:p>
        </w:tc>
      </w:tr>
      <w:tr w14:paraId="316D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Merge w:val="continue"/>
            <w:vAlign w:val="center"/>
          </w:tcPr>
          <w:p w14:paraId="65464A51">
            <w:pPr>
              <w:widowControl/>
              <w:spacing w:line="480" w:lineRule="exact"/>
              <w:jc w:val="center"/>
              <w:rPr>
                <w:rFonts w:ascii="宋体" w:hAnsi="宋体" w:cs="宋体"/>
                <w:kern w:val="0"/>
                <w:sz w:val="24"/>
              </w:rPr>
            </w:pPr>
          </w:p>
        </w:tc>
        <w:tc>
          <w:tcPr>
            <w:tcW w:w="731" w:type="dxa"/>
            <w:vAlign w:val="center"/>
          </w:tcPr>
          <w:p w14:paraId="6D8DAFCE">
            <w:pPr>
              <w:widowControl/>
              <w:spacing w:line="480" w:lineRule="exact"/>
              <w:jc w:val="center"/>
              <w:rPr>
                <w:rFonts w:ascii="宋体" w:hAnsi="宋体" w:eastAsia="宋体" w:cs="宋体"/>
                <w:kern w:val="0"/>
                <w:sz w:val="24"/>
              </w:rPr>
            </w:pPr>
            <w:r>
              <w:rPr>
                <w:rFonts w:hint="eastAsia" w:ascii="宋体" w:hAnsi="宋体" w:cs="宋体"/>
                <w:kern w:val="0"/>
                <w:sz w:val="24"/>
              </w:rPr>
              <w:t>10</w:t>
            </w:r>
          </w:p>
        </w:tc>
        <w:tc>
          <w:tcPr>
            <w:tcW w:w="810" w:type="dxa"/>
            <w:vMerge w:val="continue"/>
            <w:vAlign w:val="center"/>
          </w:tcPr>
          <w:p w14:paraId="73CD87D4">
            <w:pPr>
              <w:widowControl/>
              <w:spacing w:line="480" w:lineRule="exact"/>
              <w:jc w:val="center"/>
              <w:rPr>
                <w:rFonts w:ascii="宋体" w:hAnsi="宋体" w:cs="宋体"/>
                <w:kern w:val="0"/>
                <w:sz w:val="24"/>
              </w:rPr>
            </w:pPr>
          </w:p>
        </w:tc>
        <w:tc>
          <w:tcPr>
            <w:tcW w:w="2809" w:type="dxa"/>
            <w:vAlign w:val="center"/>
          </w:tcPr>
          <w:p w14:paraId="4C16377E">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数字展示看板</w:t>
            </w:r>
          </w:p>
        </w:tc>
        <w:tc>
          <w:tcPr>
            <w:tcW w:w="725" w:type="dxa"/>
            <w:vAlign w:val="center"/>
          </w:tcPr>
          <w:p w14:paraId="52CE7BB5">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3</w:t>
            </w:r>
          </w:p>
        </w:tc>
        <w:tc>
          <w:tcPr>
            <w:tcW w:w="765" w:type="dxa"/>
            <w:vAlign w:val="center"/>
          </w:tcPr>
          <w:p w14:paraId="62AC9BF4">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台</w:t>
            </w:r>
          </w:p>
        </w:tc>
        <w:tc>
          <w:tcPr>
            <w:tcW w:w="1430" w:type="dxa"/>
            <w:vAlign w:val="center"/>
          </w:tcPr>
          <w:p w14:paraId="73C5FE7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17400</w:t>
            </w:r>
          </w:p>
        </w:tc>
      </w:tr>
      <w:tr w14:paraId="4312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3" w:type="dxa"/>
            <w:vMerge w:val="continue"/>
            <w:vAlign w:val="center"/>
          </w:tcPr>
          <w:p w14:paraId="3E89D3CA">
            <w:pPr>
              <w:widowControl/>
              <w:spacing w:line="480" w:lineRule="exact"/>
              <w:jc w:val="center"/>
              <w:rPr>
                <w:rFonts w:ascii="宋体" w:hAnsi="宋体" w:cs="宋体"/>
                <w:kern w:val="0"/>
                <w:sz w:val="24"/>
              </w:rPr>
            </w:pPr>
          </w:p>
        </w:tc>
        <w:tc>
          <w:tcPr>
            <w:tcW w:w="731" w:type="dxa"/>
            <w:vAlign w:val="center"/>
          </w:tcPr>
          <w:p w14:paraId="4FC0618F">
            <w:pPr>
              <w:widowControl/>
              <w:spacing w:line="480" w:lineRule="exact"/>
              <w:jc w:val="center"/>
              <w:rPr>
                <w:rFonts w:ascii="宋体" w:hAnsi="宋体" w:eastAsia="宋体" w:cs="宋体"/>
                <w:kern w:val="0"/>
                <w:sz w:val="24"/>
              </w:rPr>
            </w:pPr>
            <w:r>
              <w:rPr>
                <w:rFonts w:hint="eastAsia" w:ascii="宋体" w:hAnsi="宋体" w:cs="宋体"/>
                <w:kern w:val="0"/>
                <w:sz w:val="24"/>
              </w:rPr>
              <w:t>11</w:t>
            </w:r>
          </w:p>
        </w:tc>
        <w:tc>
          <w:tcPr>
            <w:tcW w:w="810" w:type="dxa"/>
            <w:vMerge w:val="continue"/>
            <w:vAlign w:val="center"/>
          </w:tcPr>
          <w:p w14:paraId="7FE2913E">
            <w:pPr>
              <w:widowControl/>
              <w:spacing w:line="480" w:lineRule="exact"/>
              <w:jc w:val="center"/>
              <w:rPr>
                <w:rFonts w:ascii="宋体" w:hAnsi="宋体" w:cs="宋体"/>
                <w:kern w:val="0"/>
                <w:sz w:val="24"/>
              </w:rPr>
            </w:pPr>
          </w:p>
        </w:tc>
        <w:tc>
          <w:tcPr>
            <w:tcW w:w="2809" w:type="dxa"/>
            <w:vAlign w:val="center"/>
          </w:tcPr>
          <w:p w14:paraId="178223A4">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刑释出监核验终端</w:t>
            </w:r>
          </w:p>
        </w:tc>
        <w:tc>
          <w:tcPr>
            <w:tcW w:w="725" w:type="dxa"/>
            <w:vAlign w:val="center"/>
          </w:tcPr>
          <w:p w14:paraId="5A9B17C3">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2</w:t>
            </w:r>
          </w:p>
        </w:tc>
        <w:tc>
          <w:tcPr>
            <w:tcW w:w="765" w:type="dxa"/>
            <w:vAlign w:val="center"/>
          </w:tcPr>
          <w:p w14:paraId="5E29FCB6">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台</w:t>
            </w:r>
          </w:p>
        </w:tc>
        <w:tc>
          <w:tcPr>
            <w:tcW w:w="1430" w:type="dxa"/>
            <w:vAlign w:val="center"/>
          </w:tcPr>
          <w:p w14:paraId="7057C1F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26000</w:t>
            </w:r>
          </w:p>
        </w:tc>
      </w:tr>
      <w:tr w14:paraId="69A0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Merge w:val="continue"/>
            <w:vAlign w:val="center"/>
          </w:tcPr>
          <w:p w14:paraId="0EB62478">
            <w:pPr>
              <w:widowControl/>
              <w:spacing w:line="480" w:lineRule="exact"/>
              <w:jc w:val="center"/>
              <w:rPr>
                <w:rFonts w:ascii="宋体" w:hAnsi="宋体" w:cs="宋体"/>
                <w:kern w:val="0"/>
                <w:sz w:val="24"/>
              </w:rPr>
            </w:pPr>
          </w:p>
        </w:tc>
        <w:tc>
          <w:tcPr>
            <w:tcW w:w="731" w:type="dxa"/>
            <w:vAlign w:val="center"/>
          </w:tcPr>
          <w:p w14:paraId="2A562287">
            <w:pPr>
              <w:widowControl/>
              <w:spacing w:line="480" w:lineRule="exact"/>
              <w:jc w:val="center"/>
              <w:rPr>
                <w:rFonts w:ascii="宋体" w:hAnsi="宋体" w:eastAsia="宋体" w:cs="宋体"/>
                <w:kern w:val="0"/>
                <w:sz w:val="24"/>
              </w:rPr>
            </w:pPr>
            <w:r>
              <w:rPr>
                <w:rFonts w:hint="eastAsia" w:ascii="宋体" w:hAnsi="宋体" w:cs="宋体"/>
                <w:kern w:val="0"/>
                <w:sz w:val="24"/>
              </w:rPr>
              <w:t>12</w:t>
            </w:r>
          </w:p>
        </w:tc>
        <w:tc>
          <w:tcPr>
            <w:tcW w:w="810" w:type="dxa"/>
            <w:vMerge w:val="continue"/>
            <w:vAlign w:val="center"/>
          </w:tcPr>
          <w:p w14:paraId="302E50C2">
            <w:pPr>
              <w:widowControl/>
              <w:spacing w:line="480" w:lineRule="exact"/>
              <w:jc w:val="center"/>
              <w:rPr>
                <w:rFonts w:ascii="宋体" w:hAnsi="宋体" w:cs="宋体"/>
                <w:kern w:val="0"/>
                <w:sz w:val="24"/>
              </w:rPr>
            </w:pPr>
          </w:p>
        </w:tc>
        <w:tc>
          <w:tcPr>
            <w:tcW w:w="2809" w:type="dxa"/>
            <w:vAlign w:val="center"/>
          </w:tcPr>
          <w:p w14:paraId="51786132">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桌面掌静脉采集器</w:t>
            </w:r>
          </w:p>
        </w:tc>
        <w:tc>
          <w:tcPr>
            <w:tcW w:w="725" w:type="dxa"/>
            <w:vAlign w:val="center"/>
          </w:tcPr>
          <w:p w14:paraId="591F00D0">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1</w:t>
            </w:r>
          </w:p>
        </w:tc>
        <w:tc>
          <w:tcPr>
            <w:tcW w:w="765" w:type="dxa"/>
            <w:vAlign w:val="center"/>
          </w:tcPr>
          <w:p w14:paraId="14763178">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台</w:t>
            </w:r>
          </w:p>
        </w:tc>
        <w:tc>
          <w:tcPr>
            <w:tcW w:w="1430" w:type="dxa"/>
            <w:vAlign w:val="center"/>
          </w:tcPr>
          <w:p w14:paraId="149B8E3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5600</w:t>
            </w:r>
          </w:p>
        </w:tc>
      </w:tr>
      <w:tr w14:paraId="046D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Merge w:val="continue"/>
            <w:vAlign w:val="center"/>
          </w:tcPr>
          <w:p w14:paraId="78695308">
            <w:pPr>
              <w:widowControl/>
              <w:spacing w:line="480" w:lineRule="exact"/>
              <w:jc w:val="center"/>
              <w:rPr>
                <w:rFonts w:ascii="宋体" w:hAnsi="宋体" w:cs="宋体"/>
                <w:kern w:val="0"/>
                <w:sz w:val="24"/>
              </w:rPr>
            </w:pPr>
          </w:p>
        </w:tc>
        <w:tc>
          <w:tcPr>
            <w:tcW w:w="731" w:type="dxa"/>
            <w:vAlign w:val="center"/>
          </w:tcPr>
          <w:p w14:paraId="68194A0A">
            <w:pPr>
              <w:widowControl/>
              <w:spacing w:line="480" w:lineRule="exact"/>
              <w:jc w:val="center"/>
              <w:rPr>
                <w:rFonts w:ascii="宋体" w:hAnsi="宋体" w:eastAsia="宋体" w:cs="宋体"/>
                <w:kern w:val="0"/>
                <w:sz w:val="24"/>
              </w:rPr>
            </w:pPr>
            <w:r>
              <w:rPr>
                <w:rFonts w:hint="eastAsia" w:ascii="宋体" w:hAnsi="宋体" w:cs="宋体"/>
                <w:kern w:val="0"/>
                <w:sz w:val="24"/>
              </w:rPr>
              <w:t>13</w:t>
            </w:r>
          </w:p>
        </w:tc>
        <w:tc>
          <w:tcPr>
            <w:tcW w:w="810" w:type="dxa"/>
            <w:vMerge w:val="continue"/>
            <w:vAlign w:val="center"/>
          </w:tcPr>
          <w:p w14:paraId="2BBC5BA8">
            <w:pPr>
              <w:widowControl/>
              <w:spacing w:line="480" w:lineRule="exact"/>
              <w:jc w:val="center"/>
              <w:rPr>
                <w:rFonts w:ascii="宋体" w:hAnsi="宋体" w:cs="宋体"/>
                <w:kern w:val="0"/>
                <w:sz w:val="24"/>
              </w:rPr>
            </w:pPr>
          </w:p>
        </w:tc>
        <w:tc>
          <w:tcPr>
            <w:tcW w:w="2809" w:type="dxa"/>
            <w:vAlign w:val="center"/>
          </w:tcPr>
          <w:p w14:paraId="7746EAB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车底扫描系统</w:t>
            </w:r>
          </w:p>
        </w:tc>
        <w:tc>
          <w:tcPr>
            <w:tcW w:w="725" w:type="dxa"/>
            <w:vAlign w:val="center"/>
          </w:tcPr>
          <w:p w14:paraId="480C135D">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1</w:t>
            </w:r>
          </w:p>
        </w:tc>
        <w:tc>
          <w:tcPr>
            <w:tcW w:w="765" w:type="dxa"/>
            <w:vAlign w:val="center"/>
          </w:tcPr>
          <w:p w14:paraId="28965E60">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套</w:t>
            </w:r>
          </w:p>
        </w:tc>
        <w:tc>
          <w:tcPr>
            <w:tcW w:w="1430" w:type="dxa"/>
            <w:vAlign w:val="center"/>
          </w:tcPr>
          <w:p w14:paraId="1578A05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135000</w:t>
            </w:r>
          </w:p>
        </w:tc>
      </w:tr>
      <w:tr w14:paraId="366F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Merge w:val="continue"/>
            <w:vAlign w:val="center"/>
          </w:tcPr>
          <w:p w14:paraId="535C7CF0">
            <w:pPr>
              <w:widowControl/>
              <w:spacing w:line="480" w:lineRule="exact"/>
              <w:jc w:val="center"/>
              <w:rPr>
                <w:rFonts w:ascii="宋体" w:hAnsi="宋体" w:cs="宋体"/>
                <w:kern w:val="0"/>
                <w:sz w:val="24"/>
              </w:rPr>
            </w:pPr>
          </w:p>
        </w:tc>
        <w:tc>
          <w:tcPr>
            <w:tcW w:w="731" w:type="dxa"/>
            <w:vAlign w:val="center"/>
          </w:tcPr>
          <w:p w14:paraId="7E77A653">
            <w:pPr>
              <w:widowControl/>
              <w:spacing w:line="480" w:lineRule="exact"/>
              <w:jc w:val="center"/>
              <w:rPr>
                <w:rFonts w:ascii="宋体" w:hAnsi="宋体" w:eastAsia="宋体" w:cs="宋体"/>
                <w:kern w:val="0"/>
                <w:sz w:val="24"/>
              </w:rPr>
            </w:pPr>
            <w:r>
              <w:rPr>
                <w:rFonts w:hint="eastAsia" w:ascii="宋体" w:hAnsi="宋体" w:cs="宋体"/>
                <w:kern w:val="0"/>
                <w:sz w:val="24"/>
              </w:rPr>
              <w:t>14</w:t>
            </w:r>
          </w:p>
        </w:tc>
        <w:tc>
          <w:tcPr>
            <w:tcW w:w="810" w:type="dxa"/>
            <w:vMerge w:val="continue"/>
            <w:vAlign w:val="center"/>
          </w:tcPr>
          <w:p w14:paraId="611D36DF">
            <w:pPr>
              <w:widowControl/>
              <w:spacing w:line="480" w:lineRule="exact"/>
              <w:jc w:val="center"/>
              <w:rPr>
                <w:rFonts w:ascii="宋体" w:hAnsi="宋体" w:cs="宋体"/>
                <w:kern w:val="0"/>
                <w:sz w:val="24"/>
              </w:rPr>
            </w:pPr>
          </w:p>
        </w:tc>
        <w:tc>
          <w:tcPr>
            <w:tcW w:w="2809" w:type="dxa"/>
            <w:vAlign w:val="center"/>
          </w:tcPr>
          <w:p w14:paraId="67CA63F5">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门口车牌识别摄像机</w:t>
            </w:r>
          </w:p>
        </w:tc>
        <w:tc>
          <w:tcPr>
            <w:tcW w:w="725" w:type="dxa"/>
            <w:vAlign w:val="center"/>
          </w:tcPr>
          <w:p w14:paraId="092EA6E1">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2</w:t>
            </w:r>
          </w:p>
        </w:tc>
        <w:tc>
          <w:tcPr>
            <w:tcW w:w="765" w:type="dxa"/>
            <w:vAlign w:val="center"/>
          </w:tcPr>
          <w:p w14:paraId="4DB1464B">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台</w:t>
            </w:r>
          </w:p>
        </w:tc>
        <w:tc>
          <w:tcPr>
            <w:tcW w:w="1430" w:type="dxa"/>
            <w:vAlign w:val="center"/>
          </w:tcPr>
          <w:p w14:paraId="72DA231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12200</w:t>
            </w:r>
          </w:p>
        </w:tc>
      </w:tr>
      <w:tr w14:paraId="3C6A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 w:type="dxa"/>
            <w:vMerge w:val="continue"/>
            <w:vAlign w:val="center"/>
          </w:tcPr>
          <w:p w14:paraId="0EC491DC">
            <w:pPr>
              <w:widowControl/>
              <w:spacing w:line="480" w:lineRule="exact"/>
              <w:jc w:val="center"/>
              <w:rPr>
                <w:rFonts w:ascii="宋体" w:hAnsi="宋体" w:cs="宋体"/>
                <w:kern w:val="0"/>
                <w:sz w:val="24"/>
              </w:rPr>
            </w:pPr>
          </w:p>
        </w:tc>
        <w:tc>
          <w:tcPr>
            <w:tcW w:w="731" w:type="dxa"/>
            <w:vAlign w:val="center"/>
          </w:tcPr>
          <w:p w14:paraId="68CCA0DF">
            <w:pPr>
              <w:widowControl/>
              <w:spacing w:line="480" w:lineRule="exact"/>
              <w:jc w:val="center"/>
              <w:rPr>
                <w:rFonts w:ascii="宋体" w:hAnsi="宋体" w:eastAsia="宋体" w:cs="宋体"/>
                <w:kern w:val="0"/>
                <w:sz w:val="24"/>
              </w:rPr>
            </w:pPr>
            <w:r>
              <w:rPr>
                <w:rFonts w:hint="eastAsia" w:ascii="宋体" w:hAnsi="宋体" w:cs="宋体"/>
                <w:kern w:val="0"/>
                <w:sz w:val="24"/>
              </w:rPr>
              <w:t>15</w:t>
            </w:r>
          </w:p>
        </w:tc>
        <w:tc>
          <w:tcPr>
            <w:tcW w:w="810" w:type="dxa"/>
            <w:vMerge w:val="continue"/>
            <w:vAlign w:val="center"/>
          </w:tcPr>
          <w:p w14:paraId="16210A42">
            <w:pPr>
              <w:widowControl/>
              <w:spacing w:line="480" w:lineRule="exact"/>
              <w:jc w:val="center"/>
              <w:rPr>
                <w:rFonts w:ascii="宋体" w:hAnsi="宋体" w:cs="宋体"/>
                <w:kern w:val="0"/>
                <w:sz w:val="24"/>
              </w:rPr>
            </w:pPr>
          </w:p>
        </w:tc>
        <w:tc>
          <w:tcPr>
            <w:tcW w:w="2809" w:type="dxa"/>
            <w:vAlign w:val="center"/>
          </w:tcPr>
          <w:p w14:paraId="1102075E">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车道管理终端</w:t>
            </w:r>
          </w:p>
        </w:tc>
        <w:tc>
          <w:tcPr>
            <w:tcW w:w="725" w:type="dxa"/>
            <w:vAlign w:val="center"/>
          </w:tcPr>
          <w:p w14:paraId="74A58010">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1</w:t>
            </w:r>
          </w:p>
        </w:tc>
        <w:tc>
          <w:tcPr>
            <w:tcW w:w="765" w:type="dxa"/>
            <w:vAlign w:val="center"/>
          </w:tcPr>
          <w:p w14:paraId="2AC5E65B">
            <w:pPr>
              <w:widowControl/>
              <w:jc w:val="center"/>
              <w:textAlignment w:val="center"/>
              <w:rPr>
                <w:rFonts w:ascii="宋体" w:hAnsi="宋体" w:eastAsia="宋体" w:cs="宋体"/>
                <w:kern w:val="0"/>
                <w:sz w:val="24"/>
              </w:rPr>
            </w:pPr>
            <w:r>
              <w:rPr>
                <w:rFonts w:hint="eastAsia" w:ascii="宋体" w:hAnsi="宋体" w:eastAsia="宋体" w:cs="宋体"/>
                <w:color w:val="000000"/>
                <w:kern w:val="0"/>
                <w:sz w:val="24"/>
              </w:rPr>
              <w:t>台</w:t>
            </w:r>
          </w:p>
        </w:tc>
        <w:tc>
          <w:tcPr>
            <w:tcW w:w="1430" w:type="dxa"/>
            <w:vAlign w:val="center"/>
          </w:tcPr>
          <w:p w14:paraId="356139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9500</w:t>
            </w:r>
          </w:p>
        </w:tc>
      </w:tr>
    </w:tbl>
    <w:p w14:paraId="5384AE7B">
      <w:pPr>
        <w:rPr>
          <w:rFonts w:ascii="宋体" w:hAnsi="宋体" w:cs="宋体"/>
          <w:sz w:val="24"/>
        </w:rPr>
      </w:pPr>
    </w:p>
    <w:p w14:paraId="28DAFACB">
      <w:pPr>
        <w:pStyle w:val="4"/>
        <w:widowControl/>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1、供应商为本次项目提供的货物必须通过合法渠道获得，具有在中国境内的合法使用权和用户保护权，且要求货物所配模块及配件为原厂配件，货物的制造标准及技术规范等有关资料必须符合相关标准、规范要求。</w:t>
      </w:r>
    </w:p>
    <w:p w14:paraId="43F3DA67">
      <w:pPr>
        <w:pStyle w:val="4"/>
        <w:widowControl/>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2、</w:t>
      </w:r>
      <w:r>
        <w:rPr>
          <w:rFonts w:hint="eastAsia" w:ascii="宋体" w:hAnsi="宋体" w:eastAsia="宋体" w:cs="宋体"/>
          <w:color w:val="000000"/>
          <w:shd w:val="clear" w:color="auto" w:fill="FFFFFF"/>
        </w:rPr>
        <w:t>投标报价包括但不限于设备和材料（含采购、交通、运输）、专用工具费、检测费用、安装【包含但不限于因投标人提供设备所需安装要求而产生的用电、用水、用气等场地改造费用（含人工、材料（含电缆线、二级配电箱、桥架、水管、气管等）等费用），采购人现场仅提供基本条件（含基本用电、用水、用气等）】、调试及试运行、验收、退换货、软硬件升级、技术服务费用、维保期的售后服务费用、培训费用及第三方检测费用、利润、税款、风险费、总包管理与配合费用及政策性文件规定的各项应有费用及可合理推断的责任和义务。</w:t>
      </w:r>
    </w:p>
    <w:p w14:paraId="35D9804B">
      <w:pPr>
        <w:pStyle w:val="6"/>
        <w:widowControl/>
        <w:shd w:val="clear" w:color="auto" w:fill="FFFFFF"/>
        <w:spacing w:beforeAutospacing="0" w:afterAutospacing="0" w:line="480" w:lineRule="atLeast"/>
        <w:ind w:firstLine="480" w:firstLineChars="200"/>
        <w:jc w:val="both"/>
        <w:rPr>
          <w:rFonts w:hint="default" w:cs="宋体"/>
          <w:b w:val="0"/>
          <w:bCs w:val="0"/>
          <w:color w:val="000000"/>
          <w:sz w:val="24"/>
          <w:szCs w:val="24"/>
          <w:shd w:val="clear" w:color="auto" w:fill="FFFFFF"/>
        </w:rPr>
      </w:pPr>
      <w:r>
        <w:rPr>
          <w:rFonts w:hint="eastAsia" w:cs="宋体"/>
          <w:b w:val="0"/>
          <w:bCs w:val="0"/>
          <w:color w:val="000000"/>
          <w:sz w:val="24"/>
          <w:szCs w:val="24"/>
          <w:shd w:val="clear" w:color="auto" w:fill="FFFFFF"/>
          <w:lang w:val="en-US" w:eastAsia="zh-CN"/>
        </w:rPr>
        <w:t>3</w:t>
      </w:r>
      <w:r>
        <w:rPr>
          <w:rFonts w:cs="宋体"/>
          <w:b w:val="0"/>
          <w:bCs w:val="0"/>
          <w:color w:val="000000"/>
          <w:sz w:val="24"/>
          <w:szCs w:val="24"/>
          <w:shd w:val="clear" w:color="auto" w:fill="FFFFFF"/>
        </w:rPr>
        <w:t>、本项目安装施工场所为特殊区域，中标人须遵守采购人的管理规定（如：封闭区安装施工不得携带香烟、打火机、钱包、手机、电子通信工具等违禁品），安装施工人员及设备进出须经采购人审批并遵守安检规定，按照采购人时间安排进行安装施工，并做好临时调整或加班安装的准备。本项目交付安装地点位于采购人监管区内，现场作业时间可能每天不足5个小时，所涉及的所有费用均含在报价中，其风险由报价供应商承担，投标人在报价时须予以考虑。本项费用包含在投标人的总报价中，采购人不再另行给予新的费用。</w:t>
      </w:r>
    </w:p>
    <w:p w14:paraId="73C724A9">
      <w:pPr>
        <w:pStyle w:val="6"/>
        <w:widowControl/>
        <w:shd w:val="clear" w:color="auto" w:fill="FFFFFF"/>
        <w:spacing w:beforeAutospacing="0" w:afterAutospacing="0" w:line="480" w:lineRule="atLeast"/>
        <w:jc w:val="both"/>
        <w:rPr>
          <w:rFonts w:hint="default" w:cs="宋体"/>
          <w:color w:val="333333"/>
        </w:rPr>
      </w:pPr>
      <w:r>
        <w:rPr>
          <w:rFonts w:cs="宋体"/>
          <w:color w:val="333333"/>
          <w:shd w:val="clear" w:color="auto" w:fill="FFFFFF"/>
        </w:rPr>
        <w:t>二、技术和服务要求（以“★”标示的内容为不允许负偏离的实质性要求）</w:t>
      </w:r>
    </w:p>
    <w:p w14:paraId="461CF09B">
      <w:pPr>
        <w:pStyle w:val="4"/>
        <w:widowControl/>
        <w:spacing w:beforeAutospacing="0" w:afterAutospacing="0" w:line="480" w:lineRule="atLeast"/>
        <w:ind w:firstLine="480"/>
        <w:jc w:val="both"/>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平台各软件功能应能符合招标文件的要求，并要求在项目实施的过程中根据采购人需求持续调整完善软件流程功能。</w:t>
      </w:r>
    </w:p>
    <w:p w14:paraId="5864ADC8">
      <w:pPr>
        <w:pStyle w:val="4"/>
        <w:widowControl/>
        <w:spacing w:beforeLines="0" w:afterLines="0" w:line="480" w:lineRule="atLeast"/>
        <w:ind w:firstLine="480"/>
        <w:rPr>
          <w:rFonts w:hint="eastAsia" w:ascii="宋体" w:hAnsi="宋体" w:eastAsia="宋体" w:cs="宋体"/>
          <w:color w:val="333333"/>
          <w:kern w:val="0"/>
          <w:sz w:val="24"/>
          <w:szCs w:val="24"/>
          <w:shd w:val="clear" w:color="auto" w:fill="FFFFFF"/>
        </w:rPr>
      </w:pPr>
      <w:r>
        <w:rPr>
          <w:rFonts w:hint="eastAsia" w:ascii="宋体" w:hAnsi="宋体" w:eastAsia="宋体" w:cs="宋体"/>
          <w:color w:val="333333"/>
          <w:kern w:val="0"/>
          <w:sz w:val="24"/>
          <w:szCs w:val="24"/>
          <w:shd w:val="clear" w:color="auto" w:fill="FFFFFF"/>
        </w:rPr>
        <w:t>系统架构图如下图所示:</w:t>
      </w:r>
    </w:p>
    <w:p w14:paraId="26BFF2E5">
      <w:pPr>
        <w:numPr>
          <w:ilvl w:val="-1"/>
          <w:numId w:val="0"/>
        </w:numPr>
        <w:spacing w:beforeLines="0" w:afterLines="0" w:line="240" w:lineRule="auto"/>
        <w:ind w:firstLine="0"/>
        <w:rPr>
          <w:rFonts w:hint="eastAsia" w:ascii="宋体" w:hAnsi="宋体" w:eastAsia="宋体" w:cs="宋体"/>
          <w:color w:val="333333"/>
          <w:kern w:val="0"/>
          <w:sz w:val="24"/>
          <w:szCs w:val="24"/>
          <w:shd w:val="clear" w:color="auto" w:fill="FFFFFF"/>
          <w:lang w:eastAsia="zh-CN"/>
        </w:rPr>
      </w:pPr>
      <w:r>
        <w:rPr>
          <w:rFonts w:hint="eastAsia" w:ascii="宋体" w:hAnsi="宋体" w:eastAsia="宋体" w:cs="宋体"/>
          <w:color w:val="333333"/>
          <w:kern w:val="0"/>
          <w:sz w:val="24"/>
          <w:szCs w:val="24"/>
          <w:shd w:val="clear" w:color="auto" w:fill="FFFFFF"/>
          <w:lang w:eastAsia="zh-CN"/>
        </w:rPr>
        <w:drawing>
          <wp:inline distT="0" distB="0" distL="114300" distR="114300">
            <wp:extent cx="5266055" cy="4129405"/>
            <wp:effectExtent l="0" t="0" r="10795" b="4445"/>
            <wp:docPr id="2" name="图片 2" descr="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架构图"/>
                    <pic:cNvPicPr>
                      <a:picLocks noChangeAspect="1"/>
                    </pic:cNvPicPr>
                  </pic:nvPicPr>
                  <pic:blipFill>
                    <a:blip r:embed="rId5"/>
                    <a:stretch>
                      <a:fillRect/>
                    </a:stretch>
                  </pic:blipFill>
                  <pic:spPr>
                    <a:xfrm>
                      <a:off x="0" y="0"/>
                      <a:ext cx="5266055" cy="4129405"/>
                    </a:xfrm>
                    <a:prstGeom prst="rect">
                      <a:avLst/>
                    </a:prstGeom>
                  </pic:spPr>
                </pic:pic>
              </a:graphicData>
            </a:graphic>
          </wp:inline>
        </w:drawing>
      </w:r>
    </w:p>
    <w:p w14:paraId="2C816A50">
      <w:pPr>
        <w:pStyle w:val="4"/>
        <w:widowControl/>
        <w:spacing w:beforeAutospacing="0" w:afterAutospacing="0" w:line="480" w:lineRule="atLeast"/>
        <w:ind w:firstLine="480"/>
        <w:jc w:val="both"/>
      </w:pPr>
      <w:r>
        <w:rPr>
          <w:rFonts w:cs="宋体"/>
          <w:color w:val="333333"/>
          <w:shd w:val="clear" w:color="auto" w:fill="FFFFFF"/>
        </w:rPr>
        <w:t>★</w:t>
      </w:r>
      <w:r>
        <w:rPr>
          <w:rFonts w:hint="eastAsia" w:ascii="宋体" w:hAnsi="宋体" w:eastAsia="宋体" w:cs="宋体"/>
          <w:b/>
          <w:bCs/>
          <w:color w:val="333333"/>
          <w:shd w:val="clear" w:color="auto" w:fill="FFFFFF"/>
        </w:rPr>
        <w:t>（</w:t>
      </w:r>
      <w:r>
        <w:rPr>
          <w:rFonts w:hint="eastAsia" w:ascii="宋体" w:hAnsi="宋体" w:eastAsia="宋体" w:cs="宋体"/>
          <w:b/>
          <w:bCs/>
          <w:color w:val="333333"/>
          <w:shd w:val="clear" w:color="auto" w:fill="FFFFFF"/>
          <w:lang w:val="en-US" w:eastAsia="zh-CN"/>
        </w:rPr>
        <w:t>一</w:t>
      </w:r>
      <w:r>
        <w:rPr>
          <w:rFonts w:hint="eastAsia" w:ascii="宋体" w:hAnsi="宋体" w:eastAsia="宋体" w:cs="宋体"/>
          <w:b/>
          <w:bCs/>
          <w:color w:val="333333"/>
          <w:shd w:val="clear" w:color="auto" w:fill="FFFFFF"/>
        </w:rPr>
        <w:t>）功能说明</w:t>
      </w:r>
    </w:p>
    <w:p w14:paraId="15752368">
      <w:pPr>
        <w:pStyle w:val="4"/>
        <w:widowControl/>
        <w:spacing w:line="480" w:lineRule="atLeast"/>
        <w:ind w:firstLine="480" w:firstLineChars="200"/>
        <w:rPr>
          <w:rFonts w:ascii="宋体" w:hAnsi="宋体" w:eastAsia="宋体" w:cs="宋体"/>
          <w:color w:val="333333"/>
          <w:shd w:val="clear" w:color="auto" w:fill="FFFFFF"/>
        </w:rPr>
      </w:pPr>
      <w:r>
        <w:rPr>
          <w:rFonts w:hint="eastAsia" w:ascii="宋体" w:hAnsi="宋体" w:eastAsia="宋体" w:cs="宋体"/>
          <w:color w:val="333333"/>
          <w:shd w:val="clear" w:color="auto" w:fill="FFFFFF"/>
        </w:rPr>
        <w:t>监门一体化平台由外协进出管理系统、工具进出管理系统、刑释/零星外出管理系统、车道管理系统、警务通手机监门管理APP等组成。其功能介绍如下：</w:t>
      </w:r>
    </w:p>
    <w:p w14:paraId="7C577C13">
      <w:pPr>
        <w:pStyle w:val="4"/>
        <w:widowControl/>
        <w:spacing w:line="480" w:lineRule="atLeast"/>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外协进出管理系统主要功能分别为外协入监登记申请、外协入监审批、外协入监核验、人员管理、外协出入统计及看板。其中外协入监登记申请功能包括外协人员信息的登记和入监申请、外协人员信息批量导入、长期人员清单批量导入功能、线下纸质审批文件扫描上传、警务通手机端和PC端及自助机端发起入监登记申请；外协人员入监审批功能包括外协入监申请审批、长期人员审批、人车物审批状态提醒；外协人员入监核验功能包括人脸识别活体核验、人证比对身份证读取、同批次添加多名外协人员最多支持≥20人、本监狱回流刑释人脸比对；人员管理功能包括短期人员清单、长期人员清单、同步</w:t>
      </w:r>
      <w:r>
        <w:rPr>
          <w:rFonts w:hint="eastAsia" w:ascii="宋体" w:hAnsi="宋体" w:eastAsia="宋体" w:cs="宋体"/>
          <w:b w:val="0"/>
          <w:bCs w:val="0"/>
          <w:color w:val="333333"/>
          <w:kern w:val="0"/>
          <w:sz w:val="24"/>
          <w:szCs w:val="24"/>
          <w:shd w:val="clear" w:fill="FFFFFF"/>
          <w:lang w:val="en-US" w:eastAsia="zh-CN" w:bidi="ar-SA"/>
        </w:rPr>
        <w:t>福建省监狱管理</w:t>
      </w:r>
      <w:r>
        <w:rPr>
          <w:rFonts w:hint="eastAsia" w:ascii="宋体" w:hAnsi="宋体" w:eastAsia="宋体" w:cs="宋体"/>
          <w:color w:val="333333"/>
          <w:shd w:val="clear" w:color="auto" w:fill="FFFFFF"/>
        </w:rPr>
        <w:t>局刑罚执行平台获取</w:t>
      </w:r>
      <w:r>
        <w:rPr>
          <w:rFonts w:hint="eastAsia" w:ascii="宋体" w:hAnsi="宋体" w:eastAsia="宋体" w:cs="宋体"/>
          <w:b w:val="0"/>
          <w:bCs w:val="0"/>
          <w:color w:val="333333"/>
          <w:kern w:val="0"/>
          <w:sz w:val="24"/>
          <w:szCs w:val="24"/>
          <w:shd w:val="clear" w:fill="FFFFFF"/>
          <w:lang w:val="en-US" w:eastAsia="zh-CN" w:bidi="ar-SA"/>
        </w:rPr>
        <w:t>在押人员</w:t>
      </w:r>
      <w:r>
        <w:rPr>
          <w:rFonts w:hint="eastAsia" w:ascii="宋体" w:hAnsi="宋体" w:eastAsia="宋体" w:cs="宋体"/>
          <w:color w:val="333333"/>
          <w:shd w:val="clear" w:color="auto" w:fill="FFFFFF"/>
        </w:rPr>
        <w:t>信息、民警人员清单；外协出入统计及看板功能包括外协进监汇总统计、外协出监汇总统计、监门全局数据看板、外协人员进出看板、值班室看板。</w:t>
      </w:r>
    </w:p>
    <w:p w14:paraId="0E486BEA">
      <w:pPr>
        <w:pStyle w:val="4"/>
        <w:widowControl/>
        <w:spacing w:line="480" w:lineRule="atLeast"/>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工具进出管理系统主要功能分别为外协工具核验、外协工具核销、工具记录及统计。其中外协工具核验功能包括外协人员工具核验、身份证调取已审批工具、工具清单核验一对一勾选、入监工具统一拍照留存、工具含常规工具和消耗品；外协工具核销功能包括外协人员工具核验、身份证调取已审批工具、工具清单逐一比对核销划除、统一拍照留存；工具记录及统计功能包括工具核销状态查询、工具清单查询、指定权限人员对工具核销状态修改、根据</w:t>
      </w:r>
      <w:r>
        <w:rPr>
          <w:rFonts w:hint="eastAsia" w:ascii="宋体" w:hAnsi="宋体" w:eastAsia="宋体" w:cs="宋体"/>
          <w:b w:val="0"/>
          <w:bCs w:val="0"/>
          <w:color w:val="333333"/>
          <w:kern w:val="0"/>
          <w:sz w:val="24"/>
          <w:szCs w:val="24"/>
          <w:shd w:val="clear" w:fill="FFFFFF"/>
          <w:lang w:val="en-US" w:eastAsia="zh-CN" w:bidi="ar-SA"/>
        </w:rPr>
        <w:t>福建省监狱管理局</w:t>
      </w:r>
      <w:r>
        <w:rPr>
          <w:rFonts w:hint="eastAsia" w:ascii="宋体" w:hAnsi="宋体" w:eastAsia="宋体" w:cs="宋体"/>
          <w:color w:val="333333"/>
          <w:shd w:val="clear" w:color="auto" w:fill="FFFFFF"/>
        </w:rPr>
        <w:t>统一模板统计工具进出情况导出。</w:t>
      </w:r>
    </w:p>
    <w:p w14:paraId="22F78F64">
      <w:pPr>
        <w:pStyle w:val="4"/>
        <w:widowControl/>
        <w:spacing w:line="480" w:lineRule="atLeast"/>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刑释/零星外出管理系统主要功能分别为刑释外出管理、零星外出管理。其中刑释外出管理功能包括人脸生物识别、掌静脉识别、陪同民警人脸识别绑定、刑释出监记录查询；零星外出管理功能包括自定义设置外出类型、警务通手机端人脸识别出监核验、陪同民警人脸识别绑定、警务通手机端归队核验、零星外出记录查询、外出状态查询。</w:t>
      </w:r>
    </w:p>
    <w:p w14:paraId="1E9B7533">
      <w:pPr>
        <w:pStyle w:val="4"/>
        <w:widowControl/>
        <w:spacing w:line="480" w:lineRule="atLeast"/>
        <w:ind w:firstLine="480"/>
        <w:rPr>
          <w:rFonts w:ascii="宋体" w:hAnsi="宋体" w:eastAsia="宋体" w:cs="宋体"/>
          <w:color w:val="333333"/>
          <w:shd w:val="clear" w:color="auto" w:fill="FFFFFF"/>
        </w:rPr>
      </w:pPr>
      <w:r>
        <w:rPr>
          <w:rFonts w:hint="eastAsia" w:ascii="宋体" w:hAnsi="宋体" w:eastAsia="宋体" w:cs="宋体"/>
          <w:color w:val="333333"/>
          <w:shd w:val="clear" w:color="auto" w:fill="FFFFFF"/>
        </w:rPr>
        <w:t>车道管理系统主要功能分别为车辆信息管理、车辆入监管理、车辆出监管理、车道记录管理、统计汇总及看板。其中车辆信息管理功能包括车辆驾驶员库、内部车辆库、长期车辆库、临时车辆库；车辆入监管理功能包括抓捕车牌识别、车辆信息核对、驾驶员身份证绑定车辆；车辆出监管理功能包括抓拍车牌识别、车底扫描、车道管理终端同步车底扫描图片、民警核销车辆出监；车道记录管理功能包括车辆进出记录、车道抓拍记录、车底扫描记录；统计汇总及看板功能包括进出监区情况查询、车辆进监看板、车辆出监看板、车辆进出看板。</w:t>
      </w:r>
    </w:p>
    <w:p w14:paraId="03CD7B15">
      <w:pPr>
        <w:pStyle w:val="4"/>
        <w:widowControl/>
        <w:spacing w:line="480" w:lineRule="atLeast"/>
        <w:ind w:firstLine="48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警务通手机监门管理APP主要功能分别为可视化统计、入监审批、数据查询、零星外出。其中可视化统计功能包括实时查看当日入监工具统计数量、实时查看入监人员数量统计、实时查看入监车辆数量统计情况、实时查看零星外出及归队人员统计、实时查看刑释人员统计；入监审批功能包括人车物入监审批、外协进监审批流转及监控、待办状态消息通知管理、外协人员提交入监申请；数据查询功能包括实时进出监情况汇总统计、数据同步、入监人车物清单查询、长期人员查询；零星外出功能包括人脸识别核验、归队核验、1对多核验、照片和审批单上传、陪同民警绑定、外出人员查询。</w:t>
      </w:r>
    </w:p>
    <w:p w14:paraId="4A6E51AA">
      <w:pPr>
        <w:pStyle w:val="4"/>
        <w:widowControl/>
        <w:spacing w:beforeAutospacing="0" w:afterAutospacing="0" w:line="480" w:lineRule="atLeast"/>
        <w:ind w:firstLine="480"/>
        <w:jc w:val="both"/>
        <w:rPr>
          <w:rFonts w:hint="eastAsia" w:ascii="宋体" w:hAnsi="宋体" w:eastAsia="宋体" w:cs="宋体"/>
          <w:b/>
          <w:bCs/>
          <w:color w:val="333333"/>
          <w:shd w:val="clear" w:color="auto" w:fill="FFFFFF"/>
        </w:rPr>
      </w:pPr>
      <w:r>
        <w:rPr>
          <w:rFonts w:cs="宋体"/>
          <w:color w:val="333333"/>
          <w:shd w:val="clear" w:color="auto" w:fill="FFFFFF"/>
        </w:rPr>
        <w:t>★</w:t>
      </w:r>
      <w:r>
        <w:rPr>
          <w:rFonts w:hint="eastAsia" w:ascii="宋体" w:hAnsi="宋体" w:eastAsia="宋体" w:cs="宋体"/>
          <w:b/>
          <w:bCs/>
          <w:color w:val="333333"/>
          <w:shd w:val="clear" w:color="auto" w:fill="FFFFFF"/>
        </w:rPr>
        <w:t>（二）数据要求</w:t>
      </w:r>
    </w:p>
    <w:p w14:paraId="6FDA51B0">
      <w:pPr>
        <w:pStyle w:val="4"/>
        <w:widowControl/>
        <w:spacing w:beforeAutospacing="0" w:afterAutospacing="0" w:line="480" w:lineRule="atLeast"/>
        <w:ind w:firstLine="480"/>
        <w:jc w:val="both"/>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（1）设计要求</w:t>
      </w:r>
    </w:p>
    <w:p w14:paraId="7B0ADC8B">
      <w:pPr>
        <w:pStyle w:val="4"/>
        <w:widowControl/>
        <w:spacing w:beforeAutospacing="0" w:afterAutospacing="0" w:line="480" w:lineRule="atLeast"/>
        <w:ind w:firstLine="480"/>
        <w:jc w:val="both"/>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软件系统数据应按照全国监狱信息资源目录规范、要求、服务进行设计。</w:t>
      </w:r>
    </w:p>
    <w:p w14:paraId="55F40D6A">
      <w:pPr>
        <w:pStyle w:val="4"/>
        <w:widowControl/>
        <w:spacing w:beforeAutospacing="0" w:afterAutospacing="0" w:line="480" w:lineRule="atLeast"/>
        <w:ind w:firstLine="480"/>
        <w:jc w:val="both"/>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（2）编码规则</w:t>
      </w:r>
    </w:p>
    <w:p w14:paraId="18C11FCB">
      <w:pPr>
        <w:pStyle w:val="4"/>
        <w:widowControl/>
        <w:spacing w:beforeAutospacing="0" w:afterAutospacing="0" w:line="480" w:lineRule="atLeast"/>
        <w:ind w:firstLine="480"/>
        <w:jc w:val="both"/>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数据字段代码下表。</w:t>
      </w:r>
    </w:p>
    <w:p w14:paraId="6F274E1D">
      <w:pPr>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baseline"/>
        <w:rPr>
          <w:rFonts w:hint="eastAsia" w:ascii="宋体" w:hAnsi="宋体" w:eastAsia="宋体" w:cs="宋体"/>
          <w:b/>
          <w:bCs/>
          <w:snapToGrid/>
          <w:color w:val="333333"/>
          <w:kern w:val="0"/>
          <w:sz w:val="24"/>
          <w:szCs w:val="24"/>
          <w:shd w:val="clear" w:color="auto" w:fill="FFFFFF"/>
          <w:lang w:eastAsia="zh-CN"/>
        </w:rPr>
      </w:pPr>
      <w:r>
        <w:rPr>
          <w:rFonts w:hint="eastAsia" w:ascii="宋体" w:hAnsi="宋体" w:eastAsia="宋体" w:cs="宋体"/>
          <w:b/>
          <w:bCs/>
          <w:snapToGrid/>
          <w:color w:val="333333"/>
          <w:spacing w:val="0"/>
          <w:kern w:val="0"/>
          <w:sz w:val="24"/>
          <w:szCs w:val="24"/>
          <w:shd w:val="clear" w:color="auto" w:fill="FFFFFF"/>
          <w:lang w:eastAsia="zh-CN"/>
        </w:rPr>
        <w:t>数据字段代码</w:t>
      </w:r>
    </w:p>
    <w:p w14:paraId="54107D05">
      <w:pPr>
        <w:widowControl/>
        <w:kinsoku w:val="0"/>
        <w:autoSpaceDE w:val="0"/>
        <w:autoSpaceDN w:val="0"/>
        <w:adjustRightInd w:val="0"/>
        <w:snapToGrid w:val="0"/>
        <w:spacing w:after="0" w:line="167" w:lineRule="exact"/>
        <w:ind w:firstLine="0"/>
        <w:textAlignment w:val="baseline"/>
        <w:rPr>
          <w:rFonts w:ascii="Arial" w:hAnsi="Arial" w:eastAsia="Arial" w:cs="Arial"/>
          <w:snapToGrid w:val="0"/>
          <w:sz w:val="21"/>
          <w:szCs w:val="21"/>
          <w:lang w:eastAsia="en-US"/>
        </w:rPr>
      </w:pPr>
    </w:p>
    <w:tbl>
      <w:tblPr>
        <w:tblStyle w:val="28"/>
        <w:tblW w:w="88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1103"/>
        <w:gridCol w:w="7034"/>
      </w:tblGrid>
      <w:tr w14:paraId="38941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682" w:type="dxa"/>
            <w:vAlign w:val="top"/>
          </w:tcPr>
          <w:p w14:paraId="017F4195">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bCs/>
                <w:snapToGrid w:val="0"/>
                <w:color w:val="000000"/>
                <w:sz w:val="24"/>
                <w:szCs w:val="24"/>
                <w:lang w:eastAsia="en-US"/>
              </w:rPr>
            </w:pPr>
            <w:r>
              <w:rPr>
                <w:rFonts w:hint="eastAsia" w:ascii="宋体" w:hAnsi="宋体" w:eastAsia="宋体" w:cs="宋体"/>
                <w:b/>
                <w:bCs/>
                <w:snapToGrid w:val="0"/>
                <w:color w:val="000000"/>
                <w:spacing w:val="-2"/>
                <w:sz w:val="24"/>
                <w:szCs w:val="24"/>
                <w:lang w:eastAsia="en-US"/>
              </w:rPr>
              <w:t>序号</w:t>
            </w:r>
          </w:p>
        </w:tc>
        <w:tc>
          <w:tcPr>
            <w:tcW w:w="1103" w:type="dxa"/>
            <w:vAlign w:val="top"/>
          </w:tcPr>
          <w:p w14:paraId="7360BF2A">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bCs/>
                <w:snapToGrid w:val="0"/>
                <w:color w:val="000000"/>
                <w:sz w:val="24"/>
                <w:szCs w:val="24"/>
                <w:lang w:eastAsia="en-US"/>
              </w:rPr>
            </w:pPr>
            <w:r>
              <w:rPr>
                <w:rFonts w:hint="eastAsia" w:ascii="宋体" w:hAnsi="宋体" w:eastAsia="宋体" w:cs="宋体"/>
                <w:b/>
                <w:bCs/>
                <w:snapToGrid w:val="0"/>
                <w:color w:val="000000"/>
                <w:spacing w:val="-2"/>
                <w:sz w:val="24"/>
                <w:szCs w:val="24"/>
                <w:lang w:eastAsia="en-US"/>
              </w:rPr>
              <w:t>类型</w:t>
            </w:r>
          </w:p>
        </w:tc>
        <w:tc>
          <w:tcPr>
            <w:tcW w:w="7034" w:type="dxa"/>
            <w:vAlign w:val="top"/>
          </w:tcPr>
          <w:p w14:paraId="1BE4CC8F">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b/>
                <w:bCs/>
                <w:snapToGrid w:val="0"/>
                <w:color w:val="000000"/>
                <w:sz w:val="24"/>
                <w:szCs w:val="24"/>
                <w:lang w:eastAsia="en-US"/>
              </w:rPr>
            </w:pPr>
            <w:r>
              <w:rPr>
                <w:rFonts w:hint="eastAsia" w:ascii="宋体" w:hAnsi="宋体" w:eastAsia="宋体" w:cs="宋体"/>
                <w:b/>
                <w:bCs/>
                <w:snapToGrid w:val="0"/>
                <w:color w:val="000000"/>
                <w:spacing w:val="-3"/>
                <w:sz w:val="24"/>
                <w:szCs w:val="24"/>
                <w:lang w:eastAsia="en-US"/>
              </w:rPr>
              <w:t>定义</w:t>
            </w:r>
          </w:p>
        </w:tc>
      </w:tr>
      <w:tr w14:paraId="502EA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jc w:val="center"/>
        </w:trPr>
        <w:tc>
          <w:tcPr>
            <w:tcW w:w="682" w:type="dxa"/>
            <w:vAlign w:val="center"/>
          </w:tcPr>
          <w:p w14:paraId="35CB8C55">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5"/>
                <w:sz w:val="24"/>
                <w:szCs w:val="24"/>
                <w:lang w:eastAsia="en-US"/>
              </w:rPr>
              <w:t>1.</w:t>
            </w:r>
          </w:p>
        </w:tc>
        <w:tc>
          <w:tcPr>
            <w:tcW w:w="1103" w:type="dxa"/>
            <w:vAlign w:val="center"/>
          </w:tcPr>
          <w:p w14:paraId="7D5C2175">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4"/>
                <w:sz w:val="24"/>
                <w:szCs w:val="24"/>
                <w:lang w:eastAsia="en-US"/>
              </w:rPr>
              <w:t>ID</w:t>
            </w:r>
          </w:p>
        </w:tc>
        <w:tc>
          <w:tcPr>
            <w:tcW w:w="7034" w:type="dxa"/>
            <w:vAlign w:val="center"/>
          </w:tcPr>
          <w:p w14:paraId="25F6496D">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napToGrid w:val="0"/>
                <w:color w:val="000000"/>
                <w:sz w:val="24"/>
                <w:szCs w:val="24"/>
              </w:rPr>
            </w:pPr>
            <w:r>
              <w:rPr>
                <w:rFonts w:hint="eastAsia" w:ascii="宋体" w:hAnsi="宋体" w:eastAsia="宋体" w:cs="宋体"/>
                <w:snapToGrid w:val="0"/>
                <w:color w:val="000000"/>
                <w:spacing w:val="-1"/>
                <w:sz w:val="24"/>
                <w:szCs w:val="24"/>
              </w:rPr>
              <w:t>15位十进制整数（占8个字节</w:t>
            </w:r>
            <w:r>
              <w:rPr>
                <w:rFonts w:hint="eastAsia" w:ascii="宋体" w:hAnsi="宋体" w:eastAsia="宋体" w:cs="宋体"/>
                <w:snapToGrid w:val="0"/>
                <w:color w:val="000000"/>
                <w:spacing w:val="-46"/>
                <w:w w:val="96"/>
                <w:sz w:val="24"/>
                <w:szCs w:val="24"/>
              </w:rPr>
              <w:t>），</w:t>
            </w:r>
            <w:r>
              <w:rPr>
                <w:rFonts w:hint="eastAsia" w:ascii="宋体" w:hAnsi="宋体" w:eastAsia="宋体" w:cs="宋体"/>
                <w:snapToGrid w:val="0"/>
                <w:color w:val="000000"/>
                <w:spacing w:val="-1"/>
                <w:sz w:val="24"/>
                <w:szCs w:val="24"/>
              </w:rPr>
              <w:t>用作数据记录</w:t>
            </w:r>
            <w:r>
              <w:rPr>
                <w:rFonts w:hint="eastAsia" w:ascii="宋体" w:hAnsi="宋体" w:eastAsia="宋体" w:cs="宋体"/>
                <w:snapToGrid w:val="0"/>
                <w:color w:val="000000"/>
                <w:spacing w:val="-2"/>
                <w:sz w:val="24"/>
                <w:szCs w:val="24"/>
              </w:rPr>
              <w:t>的唯一标识</w:t>
            </w:r>
          </w:p>
        </w:tc>
      </w:tr>
      <w:tr w14:paraId="7F5F8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jc w:val="center"/>
        </w:trPr>
        <w:tc>
          <w:tcPr>
            <w:tcW w:w="682" w:type="dxa"/>
            <w:vAlign w:val="center"/>
          </w:tcPr>
          <w:p w14:paraId="13087993">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2.</w:t>
            </w:r>
          </w:p>
        </w:tc>
        <w:tc>
          <w:tcPr>
            <w:tcW w:w="1103" w:type="dxa"/>
            <w:vAlign w:val="center"/>
          </w:tcPr>
          <w:p w14:paraId="1B378257">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eastAsia="en-US"/>
              </w:rPr>
              <w:t>N</w:t>
            </w:r>
          </w:p>
        </w:tc>
        <w:tc>
          <w:tcPr>
            <w:tcW w:w="7034" w:type="dxa"/>
            <w:vAlign w:val="center"/>
          </w:tcPr>
          <w:p w14:paraId="7E54E9AC">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有符号4字节整数，范围：[-2147483648，2</w:t>
            </w:r>
            <w:r>
              <w:rPr>
                <w:rFonts w:hint="eastAsia" w:ascii="宋体" w:hAnsi="宋体" w:eastAsia="宋体" w:cs="宋体"/>
                <w:snapToGrid w:val="0"/>
                <w:color w:val="000000"/>
                <w:spacing w:val="-1"/>
                <w:sz w:val="24"/>
                <w:szCs w:val="24"/>
              </w:rPr>
              <w:t>147483647]</w:t>
            </w:r>
          </w:p>
        </w:tc>
      </w:tr>
      <w:tr w14:paraId="18934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682" w:type="dxa"/>
            <w:vAlign w:val="center"/>
          </w:tcPr>
          <w:p w14:paraId="0194C2A8">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3"/>
                <w:sz w:val="24"/>
                <w:szCs w:val="24"/>
                <w:lang w:eastAsia="en-US"/>
              </w:rPr>
              <w:t>3.</w:t>
            </w:r>
          </w:p>
        </w:tc>
        <w:tc>
          <w:tcPr>
            <w:tcW w:w="1103" w:type="dxa"/>
            <w:vAlign w:val="center"/>
          </w:tcPr>
          <w:p w14:paraId="6BE01842">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SN</w:t>
            </w:r>
          </w:p>
        </w:tc>
        <w:tc>
          <w:tcPr>
            <w:tcW w:w="7034" w:type="dxa"/>
            <w:vAlign w:val="center"/>
          </w:tcPr>
          <w:p w14:paraId="7FEC9089">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napToGrid w:val="0"/>
                <w:color w:val="000000"/>
                <w:sz w:val="24"/>
                <w:szCs w:val="24"/>
              </w:rPr>
            </w:pPr>
            <w:r>
              <w:rPr>
                <w:rFonts w:hint="eastAsia" w:ascii="宋体" w:hAnsi="宋体" w:eastAsia="宋体" w:cs="宋体"/>
                <w:snapToGrid w:val="0"/>
                <w:color w:val="000000"/>
                <w:spacing w:val="-1"/>
                <w:sz w:val="24"/>
                <w:szCs w:val="24"/>
              </w:rPr>
              <w:t>有符号2字节整数，范围：[-32768，32767]</w:t>
            </w:r>
          </w:p>
        </w:tc>
      </w:tr>
      <w:tr w14:paraId="65E09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jc w:val="center"/>
        </w:trPr>
        <w:tc>
          <w:tcPr>
            <w:tcW w:w="682" w:type="dxa"/>
            <w:vAlign w:val="center"/>
          </w:tcPr>
          <w:p w14:paraId="341ECAA7">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4.</w:t>
            </w:r>
          </w:p>
        </w:tc>
        <w:tc>
          <w:tcPr>
            <w:tcW w:w="1103" w:type="dxa"/>
            <w:vAlign w:val="center"/>
          </w:tcPr>
          <w:p w14:paraId="64E9D86A">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1"/>
                <w:sz w:val="24"/>
                <w:szCs w:val="24"/>
                <w:lang w:eastAsia="en-US"/>
              </w:rPr>
              <w:t>TN</w:t>
            </w:r>
          </w:p>
        </w:tc>
        <w:tc>
          <w:tcPr>
            <w:tcW w:w="7034" w:type="dxa"/>
            <w:vAlign w:val="center"/>
          </w:tcPr>
          <w:p w14:paraId="156289D5">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无符号1字节整数，范围：[0，255]若作为逻辑型使用：0：否；1：是</w:t>
            </w:r>
          </w:p>
        </w:tc>
      </w:tr>
      <w:tr w14:paraId="60CFC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682" w:type="dxa"/>
            <w:vAlign w:val="center"/>
          </w:tcPr>
          <w:p w14:paraId="2ED84FC5">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3"/>
                <w:sz w:val="24"/>
                <w:szCs w:val="24"/>
                <w:lang w:eastAsia="en-US"/>
              </w:rPr>
              <w:t>5.</w:t>
            </w:r>
          </w:p>
        </w:tc>
        <w:tc>
          <w:tcPr>
            <w:tcW w:w="1103" w:type="dxa"/>
            <w:vAlign w:val="center"/>
          </w:tcPr>
          <w:p w14:paraId="1C3C3E90">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eastAsia="en-US"/>
              </w:rPr>
              <w:t>F</w:t>
            </w:r>
          </w:p>
        </w:tc>
        <w:tc>
          <w:tcPr>
            <w:tcW w:w="7034" w:type="dxa"/>
            <w:vAlign w:val="center"/>
          </w:tcPr>
          <w:p w14:paraId="4E6A7C4D">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浮点型</w:t>
            </w:r>
          </w:p>
        </w:tc>
      </w:tr>
      <w:tr w14:paraId="657EB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682" w:type="dxa"/>
            <w:vAlign w:val="center"/>
          </w:tcPr>
          <w:p w14:paraId="4B87E0CA">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6.</w:t>
            </w:r>
          </w:p>
        </w:tc>
        <w:tc>
          <w:tcPr>
            <w:tcW w:w="1103" w:type="dxa"/>
            <w:vAlign w:val="center"/>
          </w:tcPr>
          <w:p w14:paraId="35FA3566">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eastAsia="en-US"/>
              </w:rPr>
              <w:t>D</w:t>
            </w:r>
          </w:p>
        </w:tc>
        <w:tc>
          <w:tcPr>
            <w:tcW w:w="7034" w:type="dxa"/>
            <w:vAlign w:val="center"/>
          </w:tcPr>
          <w:p w14:paraId="5BA81197">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3"/>
                <w:sz w:val="24"/>
                <w:szCs w:val="24"/>
                <w:lang w:eastAsia="en-US"/>
              </w:rPr>
              <w:t>日期，格式为yyyy-MM-dd</w:t>
            </w:r>
          </w:p>
        </w:tc>
      </w:tr>
      <w:tr w14:paraId="239FA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682" w:type="dxa"/>
            <w:vAlign w:val="center"/>
          </w:tcPr>
          <w:p w14:paraId="5E8CB287">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3"/>
                <w:sz w:val="24"/>
                <w:szCs w:val="24"/>
                <w:lang w:eastAsia="en-US"/>
              </w:rPr>
              <w:t>7.</w:t>
            </w:r>
          </w:p>
        </w:tc>
        <w:tc>
          <w:tcPr>
            <w:tcW w:w="1103" w:type="dxa"/>
            <w:vAlign w:val="center"/>
          </w:tcPr>
          <w:p w14:paraId="76F0D5A9">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eastAsia="en-US"/>
              </w:rPr>
              <w:t>T</w:t>
            </w:r>
          </w:p>
        </w:tc>
        <w:tc>
          <w:tcPr>
            <w:tcW w:w="7034" w:type="dxa"/>
            <w:vAlign w:val="center"/>
          </w:tcPr>
          <w:p w14:paraId="7D2ED882">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rPr>
              <w:t>时间，格式为hh:mm:ss</w:t>
            </w:r>
          </w:p>
        </w:tc>
      </w:tr>
      <w:tr w14:paraId="5197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682" w:type="dxa"/>
            <w:vAlign w:val="center"/>
          </w:tcPr>
          <w:p w14:paraId="38370D1D">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8.</w:t>
            </w:r>
          </w:p>
        </w:tc>
        <w:tc>
          <w:tcPr>
            <w:tcW w:w="1103" w:type="dxa"/>
            <w:vAlign w:val="center"/>
          </w:tcPr>
          <w:p w14:paraId="64FC5DC7">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1"/>
                <w:sz w:val="24"/>
                <w:szCs w:val="24"/>
                <w:lang w:eastAsia="en-US"/>
              </w:rPr>
              <w:t>TS</w:t>
            </w:r>
          </w:p>
        </w:tc>
        <w:tc>
          <w:tcPr>
            <w:tcW w:w="7034" w:type="dxa"/>
            <w:vAlign w:val="center"/>
          </w:tcPr>
          <w:p w14:paraId="4CF3C4E1">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rPr>
              <w:t>时间戳，格式为hh:mm:ss.SSS</w:t>
            </w:r>
          </w:p>
        </w:tc>
      </w:tr>
      <w:tr w14:paraId="3FBFB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682" w:type="dxa"/>
            <w:vAlign w:val="center"/>
          </w:tcPr>
          <w:p w14:paraId="088DE25F">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9.</w:t>
            </w:r>
          </w:p>
        </w:tc>
        <w:tc>
          <w:tcPr>
            <w:tcW w:w="1103" w:type="dxa"/>
            <w:vAlign w:val="center"/>
          </w:tcPr>
          <w:p w14:paraId="17B0A888">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1"/>
                <w:sz w:val="24"/>
                <w:szCs w:val="24"/>
                <w:lang w:eastAsia="en-US"/>
              </w:rPr>
              <w:t>DT</w:t>
            </w:r>
          </w:p>
        </w:tc>
        <w:tc>
          <w:tcPr>
            <w:tcW w:w="7034" w:type="dxa"/>
            <w:vAlign w:val="center"/>
          </w:tcPr>
          <w:p w14:paraId="37F08FBB">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rPr>
              <w:t>日期+时间，格式为yyyy-MM-dd hh:mm:ss</w:t>
            </w:r>
          </w:p>
        </w:tc>
      </w:tr>
      <w:tr w14:paraId="23A73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682" w:type="dxa"/>
            <w:vAlign w:val="center"/>
          </w:tcPr>
          <w:p w14:paraId="08FCBB4A">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4"/>
                <w:sz w:val="24"/>
                <w:szCs w:val="24"/>
                <w:lang w:eastAsia="en-US"/>
              </w:rPr>
              <w:t>10.</w:t>
            </w:r>
          </w:p>
        </w:tc>
        <w:tc>
          <w:tcPr>
            <w:tcW w:w="1103" w:type="dxa"/>
            <w:vAlign w:val="center"/>
          </w:tcPr>
          <w:p w14:paraId="76651E50">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1"/>
                <w:sz w:val="24"/>
                <w:szCs w:val="24"/>
                <w:lang w:eastAsia="en-US"/>
              </w:rPr>
              <w:t>DTS</w:t>
            </w:r>
          </w:p>
        </w:tc>
        <w:tc>
          <w:tcPr>
            <w:tcW w:w="7034" w:type="dxa"/>
            <w:vAlign w:val="center"/>
          </w:tcPr>
          <w:p w14:paraId="7656967B">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1"/>
                <w:sz w:val="24"/>
                <w:szCs w:val="24"/>
                <w:lang w:eastAsia="en-US"/>
              </w:rPr>
              <w:t xml:space="preserve">日期+时间戳，格式为yyyy-MM-dd </w:t>
            </w:r>
            <w:r>
              <w:rPr>
                <w:rFonts w:hint="eastAsia" w:ascii="宋体" w:hAnsi="宋体" w:eastAsia="宋体" w:cs="宋体"/>
                <w:snapToGrid w:val="0"/>
                <w:color w:val="000000"/>
                <w:spacing w:val="-2"/>
                <w:sz w:val="24"/>
                <w:szCs w:val="24"/>
                <w:lang w:eastAsia="en-US"/>
              </w:rPr>
              <w:t>hh:mm:ss.SSS</w:t>
            </w:r>
          </w:p>
        </w:tc>
      </w:tr>
      <w:tr w14:paraId="12A73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682" w:type="dxa"/>
            <w:vAlign w:val="center"/>
          </w:tcPr>
          <w:p w14:paraId="7E92ABC1">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4"/>
                <w:sz w:val="24"/>
                <w:szCs w:val="24"/>
                <w:lang w:eastAsia="en-US"/>
              </w:rPr>
              <w:t>11.</w:t>
            </w:r>
          </w:p>
        </w:tc>
        <w:tc>
          <w:tcPr>
            <w:tcW w:w="1103" w:type="dxa"/>
            <w:vAlign w:val="center"/>
          </w:tcPr>
          <w:p w14:paraId="7D9B36D6">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eastAsia="en-US"/>
              </w:rPr>
              <w:t>M</w:t>
            </w:r>
          </w:p>
        </w:tc>
        <w:tc>
          <w:tcPr>
            <w:tcW w:w="7034" w:type="dxa"/>
            <w:vAlign w:val="center"/>
          </w:tcPr>
          <w:p w14:paraId="19DF2430">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rPr>
              <w:t>货币，IEEE</w:t>
            </w:r>
            <w:r>
              <w:rPr>
                <w:rFonts w:hint="eastAsia" w:ascii="宋体" w:hAnsi="宋体" w:eastAsia="宋体" w:cs="宋体"/>
                <w:snapToGrid w:val="0"/>
                <w:color w:val="000000"/>
                <w:spacing w:val="-2"/>
                <w:sz w:val="24"/>
                <w:szCs w:val="24"/>
                <w:lang w:val="en-US" w:eastAsia="zh-CN"/>
              </w:rPr>
              <w:t xml:space="preserve"> </w:t>
            </w:r>
            <w:r>
              <w:rPr>
                <w:rFonts w:hint="eastAsia" w:ascii="宋体" w:hAnsi="宋体" w:eastAsia="宋体" w:cs="宋体"/>
                <w:snapToGrid w:val="0"/>
                <w:color w:val="000000"/>
                <w:spacing w:val="-2"/>
                <w:sz w:val="24"/>
                <w:szCs w:val="24"/>
              </w:rPr>
              <w:t>64位（占8个字节）数据标准</w:t>
            </w:r>
          </w:p>
        </w:tc>
      </w:tr>
      <w:tr w14:paraId="395CA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jc w:val="center"/>
        </w:trPr>
        <w:tc>
          <w:tcPr>
            <w:tcW w:w="682" w:type="dxa"/>
            <w:vAlign w:val="center"/>
          </w:tcPr>
          <w:p w14:paraId="5748DB52">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4"/>
                <w:sz w:val="24"/>
                <w:szCs w:val="24"/>
                <w:lang w:eastAsia="en-US"/>
              </w:rPr>
              <w:t>12.</w:t>
            </w:r>
          </w:p>
        </w:tc>
        <w:tc>
          <w:tcPr>
            <w:tcW w:w="1103" w:type="dxa"/>
            <w:vAlign w:val="center"/>
          </w:tcPr>
          <w:p w14:paraId="647784E2">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z w:val="24"/>
                <w:szCs w:val="24"/>
                <w:lang w:eastAsia="en-US"/>
              </w:rPr>
              <w:t>C</w:t>
            </w:r>
          </w:p>
        </w:tc>
        <w:tc>
          <w:tcPr>
            <w:tcW w:w="7034" w:type="dxa"/>
            <w:vAlign w:val="center"/>
          </w:tcPr>
          <w:p w14:paraId="78CF6E41">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napToGrid w:val="0"/>
                <w:color w:val="000000"/>
                <w:sz w:val="24"/>
                <w:szCs w:val="24"/>
              </w:rPr>
            </w:pPr>
            <w:r>
              <w:rPr>
                <w:rFonts w:hint="eastAsia" w:ascii="宋体" w:hAnsi="宋体" w:eastAsia="宋体" w:cs="宋体"/>
                <w:snapToGrid w:val="0"/>
                <w:color w:val="000000"/>
                <w:spacing w:val="-1"/>
                <w:sz w:val="24"/>
                <w:szCs w:val="24"/>
              </w:rPr>
              <w:t>字符串类型，数字表示最大长度</w:t>
            </w:r>
          </w:p>
          <w:p w14:paraId="5568A076">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rPr>
              <w:t>例：C100表示最大长度为100个拉丁字符（字符）的字符串</w:t>
            </w:r>
          </w:p>
        </w:tc>
      </w:tr>
      <w:tr w14:paraId="1E905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682" w:type="dxa"/>
            <w:vAlign w:val="center"/>
          </w:tcPr>
          <w:p w14:paraId="6D55C83E">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4"/>
                <w:sz w:val="24"/>
                <w:szCs w:val="24"/>
                <w:lang w:eastAsia="en-US"/>
              </w:rPr>
              <w:t>13.</w:t>
            </w:r>
          </w:p>
        </w:tc>
        <w:tc>
          <w:tcPr>
            <w:tcW w:w="1103" w:type="dxa"/>
            <w:vAlign w:val="center"/>
          </w:tcPr>
          <w:p w14:paraId="27EEF28A">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1"/>
                <w:sz w:val="24"/>
                <w:szCs w:val="24"/>
                <w:lang w:eastAsia="en-US"/>
              </w:rPr>
              <w:t>BB</w:t>
            </w:r>
          </w:p>
        </w:tc>
        <w:tc>
          <w:tcPr>
            <w:tcW w:w="7034" w:type="dxa"/>
            <w:vAlign w:val="center"/>
          </w:tcPr>
          <w:p w14:paraId="50CB7C27">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napToGrid w:val="0"/>
                <w:color w:val="000000"/>
                <w:sz w:val="24"/>
                <w:szCs w:val="24"/>
              </w:rPr>
            </w:pPr>
            <w:r>
              <w:rPr>
                <w:rFonts w:hint="eastAsia" w:ascii="宋体" w:hAnsi="宋体" w:eastAsia="宋体" w:cs="宋体"/>
                <w:snapToGrid w:val="0"/>
                <w:color w:val="000000"/>
                <w:spacing w:val="-2"/>
                <w:sz w:val="24"/>
                <w:szCs w:val="24"/>
              </w:rPr>
              <w:t>用BASE64编码的BLOB（二进制大数据量对象）</w:t>
            </w:r>
          </w:p>
        </w:tc>
      </w:tr>
      <w:tr w14:paraId="56F85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682" w:type="dxa"/>
            <w:vAlign w:val="center"/>
          </w:tcPr>
          <w:p w14:paraId="1EC2D627">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4"/>
                <w:sz w:val="24"/>
                <w:szCs w:val="24"/>
                <w:lang w:eastAsia="en-US"/>
              </w:rPr>
              <w:t>14.</w:t>
            </w:r>
          </w:p>
        </w:tc>
        <w:tc>
          <w:tcPr>
            <w:tcW w:w="1103" w:type="dxa"/>
            <w:vAlign w:val="center"/>
          </w:tcPr>
          <w:p w14:paraId="1F7643D0">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snapToGrid w:val="0"/>
                <w:color w:val="000000"/>
                <w:sz w:val="24"/>
                <w:szCs w:val="24"/>
                <w:lang w:eastAsia="en-US"/>
              </w:rPr>
            </w:pPr>
            <w:r>
              <w:rPr>
                <w:rFonts w:hint="eastAsia" w:ascii="宋体" w:hAnsi="宋体" w:eastAsia="宋体" w:cs="宋体"/>
                <w:snapToGrid w:val="0"/>
                <w:color w:val="000000"/>
                <w:spacing w:val="-2"/>
                <w:sz w:val="24"/>
                <w:szCs w:val="24"/>
                <w:lang w:eastAsia="en-US"/>
              </w:rPr>
              <w:t>CB</w:t>
            </w:r>
          </w:p>
        </w:tc>
        <w:tc>
          <w:tcPr>
            <w:tcW w:w="7034" w:type="dxa"/>
            <w:vAlign w:val="center"/>
          </w:tcPr>
          <w:p w14:paraId="54421341">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firstLineChars="0"/>
              <w:jc w:val="both"/>
              <w:textAlignment w:val="baseline"/>
              <w:rPr>
                <w:rFonts w:hint="eastAsia" w:ascii="宋体" w:hAnsi="宋体" w:eastAsia="宋体" w:cs="宋体"/>
                <w:snapToGrid w:val="0"/>
                <w:color w:val="000000"/>
                <w:sz w:val="24"/>
                <w:szCs w:val="24"/>
              </w:rPr>
            </w:pPr>
            <w:r>
              <w:rPr>
                <w:rFonts w:hint="eastAsia" w:ascii="宋体" w:hAnsi="宋体" w:eastAsia="宋体" w:cs="宋体"/>
                <w:snapToGrid w:val="0"/>
                <w:color w:val="000000"/>
                <w:spacing w:val="-1"/>
                <w:sz w:val="24"/>
                <w:szCs w:val="24"/>
              </w:rPr>
              <w:t>CLOB（字符大数据量对象）</w:t>
            </w:r>
          </w:p>
        </w:tc>
      </w:tr>
    </w:tbl>
    <w:p w14:paraId="44307084">
      <w:pPr>
        <w:pStyle w:val="4"/>
        <w:widowControl/>
        <w:spacing w:beforeAutospacing="0" w:afterAutospacing="0" w:line="480" w:lineRule="atLeast"/>
        <w:ind w:firstLine="480"/>
        <w:jc w:val="both"/>
        <w:rPr>
          <w:rFonts w:hint="eastAsia" w:ascii="宋体" w:hAnsi="宋体" w:eastAsia="宋体" w:cs="宋体"/>
          <w:b/>
          <w:bCs/>
          <w:color w:val="333333"/>
          <w:shd w:val="clear" w:color="auto" w:fill="FFFFFF"/>
        </w:rPr>
      </w:pPr>
      <w:bookmarkStart w:id="11" w:name="_Toc22999"/>
      <w:r>
        <w:rPr>
          <w:rFonts w:cs="宋体"/>
          <w:color w:val="333333"/>
          <w:shd w:val="clear" w:color="auto" w:fill="FFFFFF"/>
        </w:rPr>
        <w:t>★</w:t>
      </w:r>
      <w:r>
        <w:rPr>
          <w:rFonts w:hint="eastAsia" w:ascii="宋体" w:hAnsi="宋体" w:eastAsia="宋体" w:cs="宋体"/>
          <w:b/>
          <w:bCs/>
          <w:color w:val="333333"/>
          <w:shd w:val="clear" w:color="auto" w:fill="FFFFFF"/>
        </w:rPr>
        <w:t>（三）技术要求</w:t>
      </w:r>
    </w:p>
    <w:p w14:paraId="68BC6E41">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（1）编程语言</w:t>
      </w:r>
    </w:p>
    <w:p w14:paraId="53A7AD9F">
      <w:pPr>
        <w:pStyle w:val="4"/>
        <w:widowControl/>
        <w:spacing w:beforeAutospacing="0" w:afterAutospacing="0" w:line="480" w:lineRule="atLeast"/>
        <w:ind w:firstLine="480"/>
        <w:jc w:val="both"/>
        <w:rPr>
          <w:rFonts w:hint="eastAsia" w:ascii="宋体" w:hAnsi="宋体" w:eastAsia="宋体" w:cs="宋体"/>
          <w:b w:val="0"/>
          <w:bCs w:val="0"/>
          <w:color w:val="333333"/>
          <w:highlight w:val="none"/>
          <w:shd w:val="clear" w:color="auto" w:fill="FFFFFF"/>
        </w:rPr>
      </w:pPr>
      <w:r>
        <w:rPr>
          <w:rFonts w:hint="eastAsia" w:ascii="宋体" w:hAnsi="宋体" w:eastAsia="宋体" w:cs="宋体"/>
          <w:b w:val="0"/>
          <w:bCs w:val="0"/>
          <w:color w:val="333333"/>
          <w:highlight w:val="none"/>
          <w:shd w:val="clear" w:color="auto" w:fill="FFFFFF"/>
        </w:rPr>
        <w:t>根据国产化要求，采用成熟的编程语言。</w:t>
      </w:r>
      <w:r>
        <w:rPr>
          <w:rFonts w:hint="eastAsia" w:ascii="宋体" w:hAnsi="宋体" w:eastAsia="宋体" w:cs="宋体"/>
          <w:b w:val="0"/>
          <w:bCs w:val="0"/>
          <w:color w:val="333333"/>
          <w:highlight w:val="none"/>
          <w:shd w:val="clear" w:color="auto" w:fill="FFFFFF"/>
          <w:lang w:val="en-US" w:eastAsia="zh-CN"/>
        </w:rPr>
        <w:t>成交供应商</w:t>
      </w:r>
      <w:r>
        <w:rPr>
          <w:rFonts w:hint="eastAsia" w:ascii="宋体" w:hAnsi="宋体" w:eastAsia="宋体" w:cs="宋体"/>
          <w:b w:val="0"/>
          <w:bCs w:val="0"/>
          <w:color w:val="333333"/>
          <w:highlight w:val="none"/>
          <w:shd w:val="clear" w:color="auto" w:fill="FFFFFF"/>
        </w:rPr>
        <w:t>应承诺系统开放性，对采购人公开系统源代码。（源代码许可范围明确限定为系统维护、故障排查及灾备恢复等非商用目的，采购人承诺不将源代码用于商业开发、二次销售或其他超出</w:t>
      </w:r>
      <w:r>
        <w:rPr>
          <w:rFonts w:hint="eastAsia" w:ascii="宋体" w:hAnsi="宋体" w:eastAsia="宋体" w:cs="宋体"/>
          <w:b w:val="0"/>
          <w:bCs w:val="0"/>
          <w:color w:val="333333"/>
          <w:highlight w:val="none"/>
          <w:shd w:val="clear" w:color="auto" w:fill="FFFFFF"/>
          <w:lang w:val="en-US" w:eastAsia="zh-CN"/>
        </w:rPr>
        <w:t>本项目</w:t>
      </w:r>
      <w:r>
        <w:rPr>
          <w:rFonts w:hint="eastAsia" w:ascii="宋体" w:hAnsi="宋体" w:eastAsia="宋体" w:cs="宋体"/>
          <w:b w:val="0"/>
          <w:bCs w:val="0"/>
          <w:color w:val="333333"/>
          <w:highlight w:val="none"/>
          <w:shd w:val="clear" w:color="auto" w:fill="FFFFFF"/>
        </w:rPr>
        <w:t>合同授权范围的应用场景）</w:t>
      </w:r>
    </w:p>
    <w:p w14:paraId="6CA510F6">
      <w:pPr>
        <w:pStyle w:val="4"/>
        <w:widowControl/>
        <w:spacing w:beforeAutospacing="0" w:afterAutospacing="0" w:line="480" w:lineRule="atLeast"/>
        <w:ind w:firstLine="480"/>
        <w:jc w:val="both"/>
        <w:rPr>
          <w:rFonts w:hint="eastAsia" w:ascii="宋体" w:hAnsi="宋体" w:eastAsia="宋体" w:cs="宋体"/>
          <w:b w:val="0"/>
          <w:bCs w:val="0"/>
          <w:color w:val="333333"/>
          <w:highlight w:val="none"/>
          <w:shd w:val="clear" w:color="auto" w:fill="FFFFFF"/>
        </w:rPr>
      </w:pPr>
      <w:r>
        <w:rPr>
          <w:rFonts w:hint="eastAsia" w:ascii="宋体" w:hAnsi="宋体" w:eastAsia="宋体" w:cs="宋体"/>
          <w:b w:val="0"/>
          <w:bCs w:val="0"/>
          <w:color w:val="333333"/>
          <w:highlight w:val="none"/>
          <w:shd w:val="clear" w:color="auto" w:fill="FFFFFF"/>
        </w:rPr>
        <w:t>（2）应用体系</w:t>
      </w:r>
    </w:p>
    <w:p w14:paraId="27B2726C">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应用体系要求包括但不限于：</w:t>
      </w:r>
    </w:p>
    <w:p w14:paraId="0BD75BF8">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——应使用J2EE、.NET等成熟体系结构来实现监门管理系统的开发、部署和兼容管理相关的复杂问题；</w:t>
      </w:r>
    </w:p>
    <w:p w14:paraId="2CA9DBAF">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——应采用基于组件的方式来设计、开发、组装和部署系统，利用三层体系架构，来满足高可用性、高可靠性以及可扩展性的应用的需求，同时兼容交互其它相关系统；</w:t>
      </w:r>
    </w:p>
    <w:p w14:paraId="1D671726">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——应基于Web的架构，采用B/S（浏览器/服务器）方式的多层架构体系，满足监狱的分布式应用、集中管理的要求。</w:t>
      </w:r>
    </w:p>
    <w:p w14:paraId="2661DEF2">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（3）应用架构</w:t>
      </w:r>
    </w:p>
    <w:p w14:paraId="3B9B6A8A">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应用开发应采用面向服务体系结构。</w:t>
      </w:r>
    </w:p>
    <w:p w14:paraId="119AD9CA">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（4）数据交换要求</w:t>
      </w:r>
    </w:p>
    <w:p w14:paraId="05EFD5DA">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数据交换要求包括但不限于：</w:t>
      </w:r>
    </w:p>
    <w:p w14:paraId="168F5F60">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——应使用标准数据交换技术格式，支持http和https协议和访问证书验证机制，在保证数据安全基础上解决异构子系统间的数据共享和交换；</w:t>
      </w:r>
    </w:p>
    <w:p w14:paraId="2468F194">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——数据交换组件应具备数据映射规则的可配置与数据可靠传输及断点续传。</w:t>
      </w:r>
    </w:p>
    <w:p w14:paraId="1E0A01C2">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——需符合对接全系统统一门户、统一用户、统一机构要求。</w:t>
      </w:r>
    </w:p>
    <w:p w14:paraId="37C53C07">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——系统数据应可对接同步数字孪生可视化平台等。</w:t>
      </w:r>
    </w:p>
    <w:p w14:paraId="75238273">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（5）数据封装技术</w:t>
      </w:r>
    </w:p>
    <w:p w14:paraId="5A8D8028">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数据交换采用可扩展标记语言XML。应用应具备数据导入导出功能，运用通用的扩展标记语言XML封装数据，实现在网络环境中跨平台数据交互传输，不依赖于任何编程语言、操作系统或应用供应商。</w:t>
      </w:r>
    </w:p>
    <w:p w14:paraId="3730A475">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（6）信息安全</w:t>
      </w:r>
    </w:p>
    <w:p w14:paraId="1D31108A">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信息安全应涵盖应用开发整个生命周期过程，分级、分层、分区域的保障信息安全，落实应用用户身份认证、责任认定、数据备份制度。具体要求包括：</w:t>
      </w:r>
    </w:p>
    <w:p w14:paraId="19B6F241">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1.采用资源、角色等权限控制机制，对用户的业务操作访问权限进行控制；</w:t>
      </w:r>
    </w:p>
    <w:p w14:paraId="0C32499F">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2.系统在核心的操作环节要保存日志记录，确保每次操作有据可查；</w:t>
      </w:r>
    </w:p>
    <w:p w14:paraId="51186A46">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3.安全性要求高的信息要求在数据库中加密处理、网络传输应采取文档加密、数据底层协议加密（SSL）等方式。</w:t>
      </w:r>
    </w:p>
    <w:p w14:paraId="32D5B5B2">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（7）界面设计</w:t>
      </w:r>
    </w:p>
    <w:p w14:paraId="7C839045">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界面设计要求包括但不限于：</w:t>
      </w:r>
    </w:p>
    <w:p w14:paraId="02964FDA">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——设计应由用户控制的界面，而不是界面控制用户；</w:t>
      </w:r>
    </w:p>
    <w:p w14:paraId="7D48CBCC">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——应采用清楚一致的设计，所有界面的风格保持一致，所有具有相同含义的术语保持一致，且易于理解拥有良好的直觉特征；</w:t>
      </w:r>
    </w:p>
    <w:p w14:paraId="4B0B0BD8">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——以用户所熟悉的现实世界事务的抽象来给用户暗示和隐喻，来帮助用户能迅速学会应用的使用。较快的响应速度，简单且美观。</w:t>
      </w:r>
    </w:p>
    <w:p w14:paraId="08297140">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（8）应用开发要求</w:t>
      </w:r>
    </w:p>
    <w:p w14:paraId="4A4E0AFC">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1.命名规范</w:t>
      </w:r>
    </w:p>
    <w:p w14:paraId="0FDD63FA">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应用开发应遵循编程语言及技术架构的标准编程规范，对于方法、变量等方面的命名严格遵守编程规范，以描述性以及唯一性来命名，保证资源之间不冲突，同时源代码须给予详细注释，增加程序可读性。</w:t>
      </w:r>
    </w:p>
    <w:p w14:paraId="68B4CB87">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2.建模要求</w:t>
      </w:r>
    </w:p>
    <w:p w14:paraId="40525253">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运用统一建模语言UML进行应用的标准化可视化建模和编制技术说明文档，包括数据建模、业务建模、对象建模、组件建模。</w:t>
      </w:r>
    </w:p>
    <w:p w14:paraId="786671EE">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3.数据库设计文档</w:t>
      </w:r>
    </w:p>
    <w:p w14:paraId="406928F3">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详细的列举出那个应用所调用的数据库中的表及其各字段的含义和定义，表明各个表之间的关系。充分理解业务的前提下，定义标准的对象命名规范，详细的E-R图表，并列举创建所有数据字典项。应承诺基于全系统中心数据资源库（在建）的标准建库。</w:t>
      </w:r>
    </w:p>
    <w:p w14:paraId="4AEDF6E5">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4.系统建设方案</w:t>
      </w:r>
    </w:p>
    <w:p w14:paraId="1020229F">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系统建设方案应详细介绍系统架构图、系统各项功能设计、业务流程设计等。</w:t>
      </w:r>
    </w:p>
    <w:p w14:paraId="3CA179CE">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5.用户文档</w:t>
      </w:r>
    </w:p>
    <w:p w14:paraId="4539224B">
      <w:pPr>
        <w:pStyle w:val="4"/>
        <w:widowControl/>
        <w:spacing w:beforeAutospacing="0" w:afterAutospacing="0" w:line="480" w:lineRule="atLeast"/>
        <w:ind w:firstLine="480"/>
        <w:jc w:val="both"/>
        <w:rPr>
          <w:rFonts w:hint="eastAsia" w:ascii="宋体" w:hAnsi="宋体" w:eastAsia="宋体" w:cs="宋体"/>
          <w:b w:val="0"/>
          <w:bCs w:val="0"/>
          <w:color w:val="333333"/>
          <w:shd w:val="clear" w:color="auto" w:fill="FFFFFF"/>
        </w:rPr>
      </w:pPr>
      <w:r>
        <w:rPr>
          <w:rFonts w:hint="eastAsia" w:ascii="宋体" w:hAnsi="宋体" w:eastAsia="宋体" w:cs="宋体"/>
          <w:b w:val="0"/>
          <w:bCs w:val="0"/>
          <w:color w:val="333333"/>
          <w:shd w:val="clear" w:color="auto" w:fill="FFFFFF"/>
        </w:rPr>
        <w:t>用户文档应包括应用使用所需设置信息、产品所有功能说明、程序中用户可调用的所有功能说明、应用安装所需要的信息、应用维护所需要的信息等，要求描述准确，辅以截图标记，没有歧义，术语一致，与应用实际操作相符，清晰易读。</w:t>
      </w:r>
    </w:p>
    <w:bookmarkEnd w:id="11"/>
    <w:p w14:paraId="3D2D1E1E">
      <w:pPr>
        <w:pStyle w:val="4"/>
        <w:widowControl/>
        <w:spacing w:beforeAutospacing="0" w:afterAutospacing="0" w:line="480" w:lineRule="atLeast"/>
        <w:ind w:firstLine="480"/>
        <w:jc w:val="both"/>
        <w:rPr>
          <w:rFonts w:hint="eastAsia" w:ascii="宋体" w:hAnsi="宋体" w:eastAsia="宋体" w:cs="宋体"/>
          <w:color w:val="333333"/>
          <w:shd w:val="clear" w:color="auto" w:fill="FFFFFF"/>
        </w:rPr>
      </w:pPr>
    </w:p>
    <w:p w14:paraId="20888F26">
      <w:pPr>
        <w:spacing w:line="360" w:lineRule="auto"/>
        <w:rPr>
          <w:rFonts w:ascii="宋体" w:hAnsi="宋体" w:eastAsia="宋体" w:cs="宋体"/>
          <w:b/>
          <w:bCs/>
          <w:sz w:val="24"/>
        </w:rPr>
      </w:pPr>
      <w:r>
        <w:rPr>
          <w:rFonts w:cs="宋体"/>
          <w:color w:val="333333"/>
          <w:shd w:val="clear" w:color="auto" w:fill="FFFFFF"/>
        </w:rPr>
        <w:t>★</w:t>
      </w:r>
      <w:r>
        <w:rPr>
          <w:rFonts w:hint="eastAsia" w:ascii="宋体" w:hAnsi="宋体" w:eastAsia="宋体" w:cs="宋体"/>
          <w:b/>
          <w:bCs/>
          <w:sz w:val="24"/>
        </w:rPr>
        <w:t>（</w:t>
      </w:r>
      <w:r>
        <w:rPr>
          <w:rFonts w:hint="eastAsia" w:ascii="宋体" w:hAnsi="宋体" w:eastAsia="宋体" w:cs="宋体"/>
          <w:b/>
          <w:bCs/>
          <w:sz w:val="24"/>
          <w:lang w:val="en-US" w:eastAsia="zh-CN"/>
        </w:rPr>
        <w:t>四</w:t>
      </w:r>
      <w:r>
        <w:rPr>
          <w:rFonts w:hint="eastAsia" w:ascii="宋体" w:hAnsi="宋体" w:eastAsia="宋体" w:cs="宋体"/>
          <w:b/>
          <w:bCs/>
          <w:sz w:val="24"/>
        </w:rPr>
        <w:t>）软件</w:t>
      </w:r>
      <w:r>
        <w:rPr>
          <w:rFonts w:hint="eastAsia" w:ascii="宋体" w:hAnsi="宋体" w:cs="宋体"/>
          <w:b/>
          <w:bCs/>
          <w:sz w:val="24"/>
        </w:rPr>
        <w:t>功能</w:t>
      </w:r>
      <w:r>
        <w:rPr>
          <w:rFonts w:hint="eastAsia" w:ascii="宋体" w:hAnsi="宋体" w:eastAsia="宋体" w:cs="宋体"/>
          <w:b/>
          <w:bCs/>
          <w:sz w:val="24"/>
        </w:rPr>
        <w:t>要求</w:t>
      </w:r>
    </w:p>
    <w:tbl>
      <w:tblPr>
        <w:tblStyle w:val="17"/>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219"/>
        <w:gridCol w:w="6198"/>
        <w:gridCol w:w="932"/>
      </w:tblGrid>
      <w:tr w14:paraId="283A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12B3E8B9">
            <w:pPr>
              <w:spacing w:line="400" w:lineRule="exact"/>
              <w:jc w:val="center"/>
            </w:pPr>
            <w:r>
              <w:rPr>
                <w:rFonts w:hint="eastAsia" w:ascii="宋体" w:hAnsi="宋体" w:eastAsia="宋体" w:cs="宋体"/>
                <w:b/>
                <w:bCs/>
                <w:sz w:val="24"/>
              </w:rPr>
              <w:t>序号</w:t>
            </w:r>
          </w:p>
        </w:tc>
        <w:tc>
          <w:tcPr>
            <w:tcW w:w="1219" w:type="dxa"/>
            <w:tcBorders>
              <w:top w:val="single" w:color="auto" w:sz="4" w:space="0"/>
              <w:left w:val="single" w:color="auto" w:sz="4" w:space="0"/>
              <w:bottom w:val="single" w:color="auto" w:sz="4" w:space="0"/>
              <w:right w:val="single" w:color="auto" w:sz="4" w:space="0"/>
            </w:tcBorders>
            <w:vAlign w:val="center"/>
          </w:tcPr>
          <w:p w14:paraId="1BD3FA85">
            <w:pPr>
              <w:spacing w:line="400" w:lineRule="exact"/>
              <w:jc w:val="center"/>
            </w:pPr>
            <w:r>
              <w:rPr>
                <w:rFonts w:hint="eastAsia" w:ascii="宋体" w:hAnsi="宋体" w:eastAsia="宋体" w:cs="宋体"/>
                <w:b/>
                <w:bCs/>
                <w:sz w:val="24"/>
              </w:rPr>
              <w:t>一级模块</w:t>
            </w:r>
          </w:p>
        </w:tc>
        <w:tc>
          <w:tcPr>
            <w:tcW w:w="6198" w:type="dxa"/>
            <w:tcBorders>
              <w:top w:val="single" w:color="auto" w:sz="4" w:space="0"/>
              <w:left w:val="single" w:color="auto" w:sz="4" w:space="0"/>
              <w:bottom w:val="single" w:color="auto" w:sz="4" w:space="0"/>
              <w:right w:val="single" w:color="auto" w:sz="4" w:space="0"/>
            </w:tcBorders>
            <w:vAlign w:val="center"/>
          </w:tcPr>
          <w:p w14:paraId="50E53F1F">
            <w:pPr>
              <w:spacing w:line="400" w:lineRule="exact"/>
              <w:jc w:val="center"/>
            </w:pPr>
            <w:r>
              <w:rPr>
                <w:rFonts w:hint="eastAsia" w:ascii="宋体" w:hAnsi="宋体" w:eastAsia="宋体" w:cs="宋体"/>
                <w:b/>
                <w:bCs/>
                <w:sz w:val="24"/>
              </w:rPr>
              <w:t>内容及要求</w:t>
            </w:r>
          </w:p>
        </w:tc>
        <w:tc>
          <w:tcPr>
            <w:tcW w:w="932" w:type="dxa"/>
            <w:tcBorders>
              <w:top w:val="single" w:color="auto" w:sz="4" w:space="0"/>
              <w:left w:val="single" w:color="auto" w:sz="4" w:space="0"/>
              <w:bottom w:val="single" w:color="auto" w:sz="4" w:space="0"/>
              <w:right w:val="single" w:color="auto" w:sz="4" w:space="0"/>
            </w:tcBorders>
            <w:vAlign w:val="center"/>
          </w:tcPr>
          <w:p w14:paraId="58D68D70">
            <w:pPr>
              <w:spacing w:line="400" w:lineRule="exact"/>
              <w:jc w:val="center"/>
            </w:pPr>
            <w:r>
              <w:rPr>
                <w:rFonts w:hint="eastAsia" w:ascii="宋体" w:hAnsi="宋体" w:eastAsia="宋体" w:cs="宋体"/>
                <w:b/>
                <w:bCs/>
                <w:sz w:val="24"/>
              </w:rPr>
              <w:t>数量</w:t>
            </w:r>
          </w:p>
        </w:tc>
      </w:tr>
      <w:tr w14:paraId="4F7A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9" w:type="dxa"/>
            <w:gridSpan w:val="3"/>
            <w:tcBorders>
              <w:top w:val="single" w:color="auto" w:sz="4" w:space="0"/>
              <w:left w:val="single" w:color="auto" w:sz="4" w:space="0"/>
              <w:bottom w:val="single" w:color="auto" w:sz="4" w:space="0"/>
              <w:right w:val="single" w:color="auto" w:sz="4" w:space="0"/>
            </w:tcBorders>
            <w:vAlign w:val="center"/>
          </w:tcPr>
          <w:p w14:paraId="3151685F">
            <w:pPr>
              <w:spacing w:line="400" w:lineRule="exact"/>
              <w:rPr>
                <w:rFonts w:eastAsia="宋体"/>
              </w:rPr>
            </w:pPr>
            <w:r>
              <w:rPr>
                <w:rFonts w:hint="eastAsia" w:ascii="宋体" w:hAnsi="宋体" w:eastAsia="宋体" w:cs="宋体"/>
                <w:sz w:val="24"/>
              </w:rPr>
              <w:t>1.外协进出管理系统</w:t>
            </w:r>
          </w:p>
        </w:tc>
        <w:tc>
          <w:tcPr>
            <w:tcW w:w="932" w:type="dxa"/>
            <w:vMerge w:val="restart"/>
            <w:tcBorders>
              <w:top w:val="single" w:color="auto" w:sz="4" w:space="0"/>
              <w:left w:val="single" w:color="auto" w:sz="4" w:space="0"/>
              <w:right w:val="single" w:color="auto" w:sz="4" w:space="0"/>
            </w:tcBorders>
            <w:vAlign w:val="center"/>
          </w:tcPr>
          <w:p w14:paraId="67446D54">
            <w:pPr>
              <w:spacing w:line="400" w:lineRule="exact"/>
              <w:jc w:val="center"/>
            </w:pPr>
            <w:r>
              <w:rPr>
                <w:rFonts w:hint="eastAsia" w:ascii="宋体" w:hAnsi="宋体" w:eastAsia="宋体" w:cs="宋体"/>
                <w:sz w:val="24"/>
              </w:rPr>
              <w:t>1套</w:t>
            </w:r>
          </w:p>
        </w:tc>
      </w:tr>
      <w:tr w14:paraId="1195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0A33D96C">
            <w:pPr>
              <w:spacing w:line="400" w:lineRule="exact"/>
              <w:jc w:val="center"/>
              <w:rPr>
                <w:rFonts w:ascii="宋体" w:hAnsi="宋体" w:eastAsia="宋体" w:cs="宋体"/>
                <w:sz w:val="24"/>
              </w:rPr>
            </w:pPr>
            <w:r>
              <w:rPr>
                <w:rFonts w:hint="eastAsia" w:ascii="宋体" w:hAnsi="宋体" w:eastAsia="宋体" w:cs="宋体"/>
                <w:sz w:val="24"/>
              </w:rPr>
              <w:t>1</w:t>
            </w:r>
          </w:p>
        </w:tc>
        <w:tc>
          <w:tcPr>
            <w:tcW w:w="1219" w:type="dxa"/>
            <w:tcBorders>
              <w:top w:val="single" w:color="auto" w:sz="4" w:space="0"/>
              <w:left w:val="single" w:color="auto" w:sz="4" w:space="0"/>
              <w:bottom w:val="single" w:color="auto" w:sz="4" w:space="0"/>
              <w:right w:val="single" w:color="auto" w:sz="4" w:space="0"/>
            </w:tcBorders>
            <w:vAlign w:val="center"/>
          </w:tcPr>
          <w:p w14:paraId="6D3F291E">
            <w:pPr>
              <w:spacing w:line="400" w:lineRule="exact"/>
              <w:jc w:val="center"/>
              <w:rPr>
                <w:rFonts w:ascii="宋体" w:hAnsi="宋体" w:eastAsia="宋体" w:cs="宋体"/>
                <w:sz w:val="24"/>
              </w:rPr>
            </w:pPr>
            <w:r>
              <w:rPr>
                <w:rFonts w:hint="eastAsia" w:ascii="宋体" w:hAnsi="宋体" w:eastAsia="宋体" w:cs="宋体"/>
                <w:sz w:val="24"/>
              </w:rPr>
              <w:t>外协人员入监登记申请</w:t>
            </w:r>
          </w:p>
        </w:tc>
        <w:tc>
          <w:tcPr>
            <w:tcW w:w="6198" w:type="dxa"/>
            <w:tcBorders>
              <w:top w:val="single" w:color="auto" w:sz="4" w:space="0"/>
              <w:left w:val="single" w:color="auto" w:sz="4" w:space="0"/>
              <w:bottom w:val="single" w:color="auto" w:sz="4" w:space="0"/>
              <w:right w:val="single" w:color="auto" w:sz="4" w:space="0"/>
            </w:tcBorders>
            <w:vAlign w:val="center"/>
          </w:tcPr>
          <w:p w14:paraId="7DAA2061">
            <w:pPr>
              <w:spacing w:line="400" w:lineRule="exact"/>
              <w:rPr>
                <w:rFonts w:ascii="宋体" w:hAnsi="宋体" w:eastAsia="宋体" w:cs="宋体"/>
                <w:sz w:val="24"/>
              </w:rPr>
            </w:pPr>
            <w:r>
              <w:rPr>
                <w:rFonts w:hint="eastAsia" w:ascii="宋体" w:hAnsi="宋体" w:eastAsia="宋体" w:cs="宋体"/>
                <w:kern w:val="0"/>
                <w:sz w:val="24"/>
              </w:rPr>
              <w:t>外协人员可自发填写提交入监登记申请，并由对应责任民警确认后提交入监申请进行流程审批。责任民警发起外协人员入监登记申请，支持人员信息导入及长期人员清单导入和对应扫描附件上传，提交后由对应部门进行逐级审批，入监申请信息包括外协人员清单（名字，身份证号）、携带工具（工具名称、工具数量）、入监车辆、入监时间、协作单位名称、入监事由、经办科室等信息。</w:t>
            </w:r>
          </w:p>
        </w:tc>
        <w:tc>
          <w:tcPr>
            <w:tcW w:w="932" w:type="dxa"/>
            <w:vMerge w:val="continue"/>
            <w:tcBorders>
              <w:left w:val="single" w:color="auto" w:sz="4" w:space="0"/>
              <w:right w:val="single" w:color="auto" w:sz="4" w:space="0"/>
            </w:tcBorders>
            <w:vAlign w:val="center"/>
          </w:tcPr>
          <w:p w14:paraId="65F2689D">
            <w:pPr>
              <w:spacing w:line="400" w:lineRule="exact"/>
              <w:jc w:val="center"/>
            </w:pPr>
          </w:p>
        </w:tc>
      </w:tr>
      <w:tr w14:paraId="34F7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720285F2">
            <w:pPr>
              <w:spacing w:line="400" w:lineRule="exact"/>
              <w:jc w:val="center"/>
              <w:rPr>
                <w:rFonts w:ascii="宋体" w:hAnsi="宋体" w:eastAsia="宋体" w:cs="宋体"/>
                <w:sz w:val="24"/>
              </w:rPr>
            </w:pPr>
            <w:r>
              <w:rPr>
                <w:rFonts w:hint="eastAsia" w:ascii="宋体" w:hAnsi="宋体" w:eastAsia="宋体" w:cs="宋体"/>
                <w:sz w:val="24"/>
              </w:rPr>
              <w:t>2</w:t>
            </w:r>
          </w:p>
        </w:tc>
        <w:tc>
          <w:tcPr>
            <w:tcW w:w="1219" w:type="dxa"/>
            <w:tcBorders>
              <w:top w:val="single" w:color="auto" w:sz="4" w:space="0"/>
              <w:left w:val="single" w:color="auto" w:sz="4" w:space="0"/>
              <w:bottom w:val="single" w:color="auto" w:sz="4" w:space="0"/>
              <w:right w:val="single" w:color="auto" w:sz="4" w:space="0"/>
            </w:tcBorders>
            <w:vAlign w:val="center"/>
          </w:tcPr>
          <w:p w14:paraId="23133300">
            <w:pPr>
              <w:spacing w:line="400" w:lineRule="exact"/>
              <w:jc w:val="center"/>
              <w:rPr>
                <w:rFonts w:ascii="宋体" w:hAnsi="宋体" w:eastAsia="宋体" w:cs="宋体"/>
                <w:sz w:val="24"/>
              </w:rPr>
            </w:pPr>
            <w:r>
              <w:rPr>
                <w:rFonts w:hint="eastAsia" w:ascii="宋体" w:hAnsi="宋体" w:eastAsia="宋体" w:cs="宋体"/>
                <w:sz w:val="24"/>
              </w:rPr>
              <w:t>外协人员入监审批</w:t>
            </w:r>
          </w:p>
        </w:tc>
        <w:tc>
          <w:tcPr>
            <w:tcW w:w="6198" w:type="dxa"/>
            <w:tcBorders>
              <w:top w:val="single" w:color="auto" w:sz="4" w:space="0"/>
              <w:left w:val="single" w:color="auto" w:sz="4" w:space="0"/>
              <w:bottom w:val="single" w:color="auto" w:sz="4" w:space="0"/>
              <w:right w:val="single" w:color="auto" w:sz="4" w:space="0"/>
            </w:tcBorders>
            <w:vAlign w:val="center"/>
          </w:tcPr>
          <w:p w14:paraId="258D07FC">
            <w:pPr>
              <w:spacing w:line="400" w:lineRule="exact"/>
              <w:rPr>
                <w:rFonts w:ascii="宋体" w:hAnsi="宋体" w:eastAsia="宋体" w:cs="宋体"/>
                <w:sz w:val="24"/>
              </w:rPr>
            </w:pPr>
            <w:r>
              <w:rPr>
                <w:rFonts w:hint="eastAsia" w:ascii="宋体" w:hAnsi="宋体" w:eastAsia="宋体" w:cs="宋体"/>
                <w:sz w:val="24"/>
              </w:rPr>
              <w:t>入监审批科室民警进入查看和审核入监申请订单，可支持多人审核或跳级审核等，审核人可查看入监申请订单详情包括入监信息、人员信息、工具清单、车辆信息等，审批类型包括外协入监审批、长期人员审批，审批信息通过角标或高亮进行状态提醒。</w:t>
            </w:r>
          </w:p>
        </w:tc>
        <w:tc>
          <w:tcPr>
            <w:tcW w:w="932" w:type="dxa"/>
            <w:vMerge w:val="continue"/>
            <w:tcBorders>
              <w:left w:val="single" w:color="auto" w:sz="4" w:space="0"/>
              <w:right w:val="single" w:color="auto" w:sz="4" w:space="0"/>
            </w:tcBorders>
            <w:vAlign w:val="center"/>
          </w:tcPr>
          <w:p w14:paraId="10B217C6">
            <w:pPr>
              <w:spacing w:line="400" w:lineRule="exact"/>
              <w:jc w:val="center"/>
            </w:pPr>
          </w:p>
        </w:tc>
      </w:tr>
      <w:tr w14:paraId="2164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4ADD9E97">
            <w:pPr>
              <w:spacing w:line="400" w:lineRule="exact"/>
              <w:jc w:val="center"/>
              <w:rPr>
                <w:rFonts w:ascii="宋体" w:hAnsi="宋体" w:eastAsia="宋体" w:cs="宋体"/>
                <w:sz w:val="24"/>
              </w:rPr>
            </w:pPr>
            <w:r>
              <w:rPr>
                <w:rFonts w:hint="eastAsia" w:ascii="宋体" w:hAnsi="宋体" w:eastAsia="宋体" w:cs="宋体"/>
                <w:sz w:val="24"/>
              </w:rPr>
              <w:t>3</w:t>
            </w:r>
          </w:p>
        </w:tc>
        <w:tc>
          <w:tcPr>
            <w:tcW w:w="1219" w:type="dxa"/>
            <w:tcBorders>
              <w:top w:val="single" w:color="auto" w:sz="4" w:space="0"/>
              <w:left w:val="single" w:color="auto" w:sz="4" w:space="0"/>
              <w:bottom w:val="single" w:color="auto" w:sz="4" w:space="0"/>
              <w:right w:val="single" w:color="auto" w:sz="4" w:space="0"/>
            </w:tcBorders>
            <w:vAlign w:val="center"/>
          </w:tcPr>
          <w:p w14:paraId="601B01DA">
            <w:pPr>
              <w:spacing w:line="400" w:lineRule="exact"/>
              <w:jc w:val="center"/>
              <w:rPr>
                <w:rFonts w:ascii="宋体" w:hAnsi="宋体" w:eastAsia="宋体" w:cs="宋体"/>
                <w:sz w:val="24"/>
              </w:rPr>
            </w:pPr>
            <w:r>
              <w:rPr>
                <w:rFonts w:hint="eastAsia" w:ascii="宋体" w:hAnsi="宋体" w:eastAsia="宋体" w:cs="宋体"/>
                <w:sz w:val="24"/>
              </w:rPr>
              <w:t>外来人员入监核验</w:t>
            </w:r>
          </w:p>
        </w:tc>
        <w:tc>
          <w:tcPr>
            <w:tcW w:w="6198" w:type="dxa"/>
            <w:tcBorders>
              <w:top w:val="single" w:color="auto" w:sz="4" w:space="0"/>
              <w:left w:val="single" w:color="auto" w:sz="4" w:space="0"/>
              <w:bottom w:val="single" w:color="auto" w:sz="4" w:space="0"/>
              <w:right w:val="single" w:color="auto" w:sz="4" w:space="0"/>
            </w:tcBorders>
            <w:vAlign w:val="center"/>
          </w:tcPr>
          <w:p w14:paraId="61C5D6B5">
            <w:pPr>
              <w:spacing w:line="400" w:lineRule="exact"/>
              <w:rPr>
                <w:rFonts w:ascii="宋体" w:hAnsi="宋体" w:cs="宋体"/>
                <w:sz w:val="24"/>
                <w:szCs w:val="24"/>
              </w:rPr>
            </w:pPr>
            <w:r>
              <w:rPr>
                <w:rFonts w:hint="eastAsia" w:ascii="宋体" w:hAnsi="宋体" w:cs="宋体"/>
                <w:kern w:val="0"/>
                <w:sz w:val="24"/>
                <w:szCs w:val="24"/>
              </w:rPr>
              <w:t>入监审批完成后，外协人员及陪同民警结合出入监管理系统数据互联互通运用生物识别技术和多种核验方式相结合实现，外协人员自助操作身份证刷卡识别登记，自助终端自动调取选择已审批的人员清单，根据清单通过人脸和身份证比对、回流刑释人员比对完成身份核验和登记，由陪同民警确认绑定办理完成。系统支持同一批次添加多名外协人员，同一批次最多支持≥20人，根据人脸核验情况可自动关联已核验的工具和车辆清单</w:t>
            </w:r>
            <w:r>
              <w:rPr>
                <w:rFonts w:hint="eastAsia" w:ascii="宋体" w:hAnsi="宋体" w:cs="宋体"/>
                <w:sz w:val="24"/>
                <w:szCs w:val="24"/>
              </w:rPr>
              <w:t>。</w:t>
            </w:r>
          </w:p>
        </w:tc>
        <w:tc>
          <w:tcPr>
            <w:tcW w:w="932" w:type="dxa"/>
            <w:vMerge w:val="continue"/>
            <w:tcBorders>
              <w:left w:val="single" w:color="auto" w:sz="4" w:space="0"/>
              <w:right w:val="single" w:color="auto" w:sz="4" w:space="0"/>
            </w:tcBorders>
            <w:vAlign w:val="center"/>
          </w:tcPr>
          <w:p w14:paraId="33258413">
            <w:pPr>
              <w:spacing w:line="400" w:lineRule="exact"/>
              <w:jc w:val="center"/>
            </w:pPr>
          </w:p>
        </w:tc>
      </w:tr>
      <w:tr w14:paraId="7B56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237485AA">
            <w:pPr>
              <w:spacing w:line="400" w:lineRule="exact"/>
              <w:jc w:val="center"/>
              <w:rPr>
                <w:rFonts w:ascii="宋体" w:hAnsi="宋体" w:eastAsia="宋体" w:cs="宋体"/>
                <w:sz w:val="24"/>
              </w:rPr>
            </w:pPr>
            <w:r>
              <w:rPr>
                <w:rFonts w:hint="eastAsia" w:ascii="宋体" w:hAnsi="宋体" w:eastAsia="宋体" w:cs="宋体"/>
                <w:sz w:val="24"/>
              </w:rPr>
              <w:t>4</w:t>
            </w:r>
          </w:p>
        </w:tc>
        <w:tc>
          <w:tcPr>
            <w:tcW w:w="1219" w:type="dxa"/>
            <w:tcBorders>
              <w:top w:val="single" w:color="auto" w:sz="4" w:space="0"/>
              <w:left w:val="single" w:color="auto" w:sz="4" w:space="0"/>
              <w:bottom w:val="single" w:color="auto" w:sz="4" w:space="0"/>
              <w:right w:val="single" w:color="auto" w:sz="4" w:space="0"/>
            </w:tcBorders>
            <w:vAlign w:val="center"/>
          </w:tcPr>
          <w:p w14:paraId="224B684C">
            <w:pPr>
              <w:spacing w:line="400" w:lineRule="exact"/>
              <w:jc w:val="center"/>
              <w:rPr>
                <w:rFonts w:ascii="宋体" w:hAnsi="宋体" w:eastAsia="宋体" w:cs="宋体"/>
                <w:sz w:val="24"/>
              </w:rPr>
            </w:pPr>
            <w:r>
              <w:rPr>
                <w:rFonts w:hint="eastAsia" w:ascii="宋体" w:hAnsi="宋体" w:eastAsia="宋体" w:cs="宋体"/>
                <w:sz w:val="24"/>
              </w:rPr>
              <w:t>人员管理</w:t>
            </w:r>
          </w:p>
        </w:tc>
        <w:tc>
          <w:tcPr>
            <w:tcW w:w="6198" w:type="dxa"/>
            <w:tcBorders>
              <w:top w:val="single" w:color="auto" w:sz="4" w:space="0"/>
              <w:left w:val="single" w:color="auto" w:sz="4" w:space="0"/>
              <w:bottom w:val="single" w:color="auto" w:sz="4" w:space="0"/>
              <w:right w:val="single" w:color="auto" w:sz="4" w:space="0"/>
            </w:tcBorders>
            <w:vAlign w:val="center"/>
          </w:tcPr>
          <w:p w14:paraId="1D85EB86">
            <w:pPr>
              <w:spacing w:line="400" w:lineRule="exact"/>
              <w:jc w:val="left"/>
              <w:rPr>
                <w:rFonts w:ascii="宋体" w:hAnsi="宋体" w:eastAsia="宋体" w:cs="宋体"/>
                <w:sz w:val="24"/>
              </w:rPr>
            </w:pPr>
            <w:r>
              <w:rPr>
                <w:rFonts w:hint="eastAsia" w:ascii="宋体" w:hAnsi="宋体" w:eastAsia="宋体" w:cs="宋体"/>
                <w:sz w:val="24"/>
              </w:rPr>
              <w:t>系统人员管理包括外协短期人员清单管理、外协长期人员清单管理，</w:t>
            </w:r>
            <w:r>
              <w:rPr>
                <w:rFonts w:hint="eastAsia" w:ascii="宋体" w:hAnsi="宋体" w:eastAsia="宋体" w:cs="宋体"/>
                <w:color w:val="333333"/>
                <w:sz w:val="24"/>
                <w:shd w:val="clear" w:color="auto" w:fill="FFFFFF"/>
              </w:rPr>
              <w:t>被监管</w:t>
            </w:r>
            <w:r>
              <w:rPr>
                <w:rFonts w:hint="eastAsia" w:ascii="宋体" w:hAnsi="宋体" w:eastAsia="宋体" w:cs="宋体"/>
                <w:sz w:val="24"/>
              </w:rPr>
              <w:t>人员清单管理、民警人员清单管理，其中</w:t>
            </w:r>
            <w:r>
              <w:rPr>
                <w:rFonts w:hint="eastAsia" w:ascii="宋体" w:hAnsi="宋体" w:eastAsia="宋体" w:cs="宋体"/>
                <w:color w:val="333333"/>
                <w:sz w:val="24"/>
                <w:shd w:val="clear" w:color="auto" w:fill="FFFFFF"/>
              </w:rPr>
              <w:t>被监管</w:t>
            </w:r>
            <w:r>
              <w:rPr>
                <w:rFonts w:hint="eastAsia" w:ascii="宋体" w:hAnsi="宋体" w:eastAsia="宋体" w:cs="宋体"/>
                <w:sz w:val="24"/>
              </w:rPr>
              <w:t>人员清单对接现有</w:t>
            </w:r>
            <w:r>
              <w:rPr>
                <w:rFonts w:hint="eastAsia" w:ascii="宋体" w:hAnsi="宋体" w:eastAsia="宋体" w:cs="宋体"/>
                <w:sz w:val="24"/>
                <w:lang w:val="en-US" w:eastAsia="zh-CN"/>
              </w:rPr>
              <w:t>福建省监狱管理</w:t>
            </w:r>
            <w:r>
              <w:rPr>
                <w:rFonts w:hint="eastAsia" w:ascii="宋体" w:hAnsi="宋体" w:eastAsia="宋体" w:cs="宋体"/>
                <w:sz w:val="24"/>
              </w:rPr>
              <w:t>局统一刑罚执行系统同步获取</w:t>
            </w:r>
            <w:r>
              <w:rPr>
                <w:rFonts w:hint="eastAsia" w:ascii="宋体" w:hAnsi="宋体" w:eastAsia="宋体" w:cs="宋体"/>
                <w:color w:val="333333"/>
                <w:sz w:val="24"/>
                <w:shd w:val="clear" w:color="auto" w:fill="FFFFFF"/>
              </w:rPr>
              <w:t>被监管人员</w:t>
            </w:r>
            <w:r>
              <w:rPr>
                <w:rFonts w:hint="eastAsia" w:ascii="宋体" w:hAnsi="宋体" w:eastAsia="宋体" w:cs="宋体"/>
                <w:sz w:val="24"/>
              </w:rPr>
              <w:t>信息和状态。</w:t>
            </w:r>
          </w:p>
        </w:tc>
        <w:tc>
          <w:tcPr>
            <w:tcW w:w="932" w:type="dxa"/>
            <w:vMerge w:val="continue"/>
            <w:tcBorders>
              <w:left w:val="single" w:color="auto" w:sz="4" w:space="0"/>
              <w:right w:val="single" w:color="auto" w:sz="4" w:space="0"/>
            </w:tcBorders>
            <w:vAlign w:val="center"/>
          </w:tcPr>
          <w:p w14:paraId="0E50AED2">
            <w:pPr>
              <w:spacing w:line="400" w:lineRule="exact"/>
              <w:jc w:val="center"/>
            </w:pPr>
          </w:p>
        </w:tc>
      </w:tr>
      <w:tr w14:paraId="0B7D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49C2A81B">
            <w:pPr>
              <w:spacing w:line="40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c>
          <w:tcPr>
            <w:tcW w:w="1219" w:type="dxa"/>
            <w:tcBorders>
              <w:top w:val="single" w:color="auto" w:sz="4" w:space="0"/>
              <w:left w:val="single" w:color="auto" w:sz="4" w:space="0"/>
              <w:bottom w:val="single" w:color="auto" w:sz="4" w:space="0"/>
              <w:right w:val="single" w:color="auto" w:sz="4" w:space="0"/>
            </w:tcBorders>
            <w:vAlign w:val="center"/>
          </w:tcPr>
          <w:p w14:paraId="0D6F8DF9">
            <w:pPr>
              <w:spacing w:line="400" w:lineRule="exact"/>
              <w:jc w:val="center"/>
              <w:rPr>
                <w:rFonts w:ascii="宋体" w:hAnsi="宋体" w:eastAsia="宋体" w:cs="宋体"/>
                <w:sz w:val="24"/>
              </w:rPr>
            </w:pPr>
            <w:r>
              <w:rPr>
                <w:rFonts w:hint="eastAsia" w:ascii="宋体" w:hAnsi="宋体" w:eastAsia="宋体" w:cs="宋体"/>
                <w:sz w:val="24"/>
              </w:rPr>
              <w:t>外出进出统计及看板</w:t>
            </w:r>
          </w:p>
        </w:tc>
        <w:tc>
          <w:tcPr>
            <w:tcW w:w="6198" w:type="dxa"/>
            <w:tcBorders>
              <w:top w:val="single" w:color="auto" w:sz="4" w:space="0"/>
              <w:left w:val="single" w:color="auto" w:sz="4" w:space="0"/>
              <w:bottom w:val="single" w:color="auto" w:sz="4" w:space="0"/>
              <w:right w:val="single" w:color="auto" w:sz="4" w:space="0"/>
            </w:tcBorders>
            <w:vAlign w:val="center"/>
          </w:tcPr>
          <w:p w14:paraId="4FA3C44B">
            <w:pPr>
              <w:spacing w:line="400" w:lineRule="exact"/>
              <w:jc w:val="left"/>
              <w:rPr>
                <w:rFonts w:ascii="宋体" w:hAnsi="宋体" w:eastAsia="宋体" w:cs="宋体"/>
                <w:sz w:val="24"/>
              </w:rPr>
            </w:pPr>
            <w:r>
              <w:rPr>
                <w:rFonts w:hint="eastAsia" w:ascii="宋体" w:hAnsi="宋体" w:eastAsia="宋体" w:cs="宋体"/>
                <w:sz w:val="24"/>
              </w:rPr>
              <w:t>可对进出监的外协人员进行实时统计，系统统计结果支持详细信息查询并支持报表导出；同时支持工具和车辆进出统计功能，实时查询指定日期工具流程及统计汇总车辆详细信息。</w:t>
            </w:r>
          </w:p>
          <w:p w14:paraId="52A8F1B1">
            <w:pPr>
              <w:spacing w:line="400" w:lineRule="exact"/>
              <w:jc w:val="left"/>
              <w:rPr>
                <w:rFonts w:ascii="宋体" w:hAnsi="宋体" w:eastAsia="宋体" w:cs="宋体"/>
                <w:sz w:val="24"/>
              </w:rPr>
            </w:pPr>
            <w:r>
              <w:rPr>
                <w:rFonts w:hint="eastAsia" w:ascii="宋体" w:hAnsi="宋体" w:eastAsia="宋体" w:cs="宋体"/>
                <w:sz w:val="24"/>
              </w:rPr>
              <w:t>通过可视化方式实时展示数据看板包括监门全局数据看板、外协人员进出看板、值班室数据看板。</w:t>
            </w:r>
          </w:p>
        </w:tc>
        <w:tc>
          <w:tcPr>
            <w:tcW w:w="932" w:type="dxa"/>
            <w:vMerge w:val="continue"/>
            <w:tcBorders>
              <w:left w:val="single" w:color="auto" w:sz="4" w:space="0"/>
              <w:bottom w:val="single" w:color="auto" w:sz="4" w:space="0"/>
              <w:right w:val="single" w:color="auto" w:sz="4" w:space="0"/>
            </w:tcBorders>
            <w:vAlign w:val="center"/>
          </w:tcPr>
          <w:p w14:paraId="4B93DE6D">
            <w:pPr>
              <w:spacing w:line="400" w:lineRule="exact"/>
              <w:jc w:val="center"/>
            </w:pPr>
          </w:p>
        </w:tc>
      </w:tr>
      <w:tr w14:paraId="2DEE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9" w:type="dxa"/>
            <w:gridSpan w:val="3"/>
            <w:tcBorders>
              <w:top w:val="single" w:color="auto" w:sz="4" w:space="0"/>
              <w:left w:val="single" w:color="auto" w:sz="4" w:space="0"/>
              <w:bottom w:val="single" w:color="auto" w:sz="4" w:space="0"/>
              <w:right w:val="single" w:color="auto" w:sz="4" w:space="0"/>
            </w:tcBorders>
            <w:vAlign w:val="center"/>
          </w:tcPr>
          <w:p w14:paraId="546A4587">
            <w:pPr>
              <w:spacing w:line="400" w:lineRule="exact"/>
              <w:jc w:val="left"/>
            </w:pPr>
            <w:r>
              <w:rPr>
                <w:rFonts w:hint="eastAsia" w:ascii="宋体" w:hAnsi="宋体" w:eastAsia="宋体" w:cs="宋体"/>
                <w:sz w:val="24"/>
              </w:rPr>
              <w:t>2.</w:t>
            </w:r>
            <w:r>
              <w:rPr>
                <w:rFonts w:hint="eastAsia" w:ascii="宋体" w:hAnsi="宋体" w:cs="宋体"/>
                <w:sz w:val="24"/>
              </w:rPr>
              <w:t>工具进出管理系统</w:t>
            </w:r>
          </w:p>
        </w:tc>
        <w:tc>
          <w:tcPr>
            <w:tcW w:w="932" w:type="dxa"/>
            <w:vMerge w:val="restart"/>
            <w:tcBorders>
              <w:top w:val="single" w:color="auto" w:sz="4" w:space="0"/>
              <w:left w:val="single" w:color="auto" w:sz="4" w:space="0"/>
              <w:right w:val="single" w:color="auto" w:sz="4" w:space="0"/>
            </w:tcBorders>
            <w:vAlign w:val="center"/>
          </w:tcPr>
          <w:p w14:paraId="1108CF92">
            <w:pPr>
              <w:spacing w:line="400" w:lineRule="exact"/>
              <w:jc w:val="center"/>
              <w:rPr>
                <w:rFonts w:eastAsia="宋体"/>
              </w:rPr>
            </w:pPr>
            <w:r>
              <w:rPr>
                <w:rFonts w:hint="eastAsia" w:ascii="宋体" w:hAnsi="宋体" w:eastAsia="宋体" w:cs="宋体"/>
                <w:sz w:val="24"/>
              </w:rPr>
              <w:t>1套</w:t>
            </w:r>
          </w:p>
        </w:tc>
      </w:tr>
      <w:tr w14:paraId="0EC2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17EA26D3">
            <w:pPr>
              <w:spacing w:line="400" w:lineRule="exact"/>
              <w:jc w:val="center"/>
            </w:pPr>
            <w:r>
              <w:rPr>
                <w:rFonts w:hint="eastAsia" w:ascii="宋体" w:hAnsi="宋体" w:eastAsia="宋体" w:cs="宋体"/>
                <w:sz w:val="24"/>
              </w:rPr>
              <w:t>1</w:t>
            </w:r>
          </w:p>
        </w:tc>
        <w:tc>
          <w:tcPr>
            <w:tcW w:w="1219" w:type="dxa"/>
            <w:tcBorders>
              <w:top w:val="single" w:color="auto" w:sz="4" w:space="0"/>
              <w:left w:val="single" w:color="auto" w:sz="4" w:space="0"/>
              <w:bottom w:val="single" w:color="auto" w:sz="4" w:space="0"/>
              <w:right w:val="single" w:color="auto" w:sz="4" w:space="0"/>
            </w:tcBorders>
            <w:vAlign w:val="center"/>
          </w:tcPr>
          <w:p w14:paraId="5009F46D">
            <w:pPr>
              <w:spacing w:line="400" w:lineRule="exact"/>
              <w:jc w:val="center"/>
            </w:pPr>
            <w:r>
              <w:rPr>
                <w:rFonts w:hint="eastAsia" w:ascii="宋体" w:hAnsi="宋体" w:eastAsia="宋体" w:cs="宋体"/>
                <w:sz w:val="24"/>
              </w:rPr>
              <w:t>外协工具核验</w:t>
            </w:r>
          </w:p>
        </w:tc>
        <w:tc>
          <w:tcPr>
            <w:tcW w:w="6198" w:type="dxa"/>
            <w:tcBorders>
              <w:top w:val="single" w:color="auto" w:sz="4" w:space="0"/>
              <w:left w:val="single" w:color="auto" w:sz="4" w:space="0"/>
              <w:bottom w:val="single" w:color="auto" w:sz="4" w:space="0"/>
              <w:right w:val="single" w:color="auto" w:sz="4" w:space="0"/>
            </w:tcBorders>
            <w:vAlign w:val="center"/>
          </w:tcPr>
          <w:p w14:paraId="2DB745D6">
            <w:pPr>
              <w:spacing w:line="400" w:lineRule="exact"/>
              <w:jc w:val="left"/>
              <w:rPr>
                <w:rFonts w:eastAsia="宋体"/>
              </w:rPr>
            </w:pPr>
            <w:r>
              <w:rPr>
                <w:rFonts w:hint="eastAsia" w:ascii="宋体" w:hAnsi="宋体" w:eastAsia="宋体" w:cs="宋体"/>
                <w:sz w:val="24"/>
              </w:rPr>
              <w:t>外协工具核验采用物品核验管理终端操作工具核验并拍照清点上传，通过身份证或人脸识别自动调取当前外协人员的工具清单，根据已审批工具清单一一核对清点，现场实际携带工具需在已审批工具清点中，工具核验包括常规工具、消耗品、危险品，核对无误后拍照记录确认提交。</w:t>
            </w:r>
          </w:p>
        </w:tc>
        <w:tc>
          <w:tcPr>
            <w:tcW w:w="932" w:type="dxa"/>
            <w:vMerge w:val="continue"/>
            <w:tcBorders>
              <w:left w:val="single" w:color="auto" w:sz="4" w:space="0"/>
              <w:right w:val="single" w:color="auto" w:sz="4" w:space="0"/>
            </w:tcBorders>
            <w:vAlign w:val="center"/>
          </w:tcPr>
          <w:p w14:paraId="70F8A423">
            <w:pPr>
              <w:spacing w:line="400" w:lineRule="exact"/>
              <w:jc w:val="center"/>
            </w:pPr>
          </w:p>
        </w:tc>
      </w:tr>
      <w:tr w14:paraId="5863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2CFC57CC">
            <w:pPr>
              <w:spacing w:line="400" w:lineRule="exact"/>
              <w:jc w:val="center"/>
            </w:pPr>
            <w:r>
              <w:rPr>
                <w:rFonts w:hint="eastAsia" w:ascii="宋体" w:hAnsi="宋体" w:eastAsia="宋体" w:cs="宋体"/>
                <w:sz w:val="24"/>
              </w:rPr>
              <w:t>2</w:t>
            </w:r>
          </w:p>
        </w:tc>
        <w:tc>
          <w:tcPr>
            <w:tcW w:w="1219" w:type="dxa"/>
            <w:tcBorders>
              <w:top w:val="single" w:color="auto" w:sz="4" w:space="0"/>
              <w:left w:val="single" w:color="auto" w:sz="4" w:space="0"/>
              <w:bottom w:val="single" w:color="auto" w:sz="4" w:space="0"/>
              <w:right w:val="single" w:color="auto" w:sz="4" w:space="0"/>
            </w:tcBorders>
            <w:vAlign w:val="center"/>
          </w:tcPr>
          <w:p w14:paraId="583C8F54">
            <w:pPr>
              <w:spacing w:line="400" w:lineRule="exact"/>
              <w:jc w:val="center"/>
            </w:pPr>
            <w:r>
              <w:rPr>
                <w:rFonts w:hint="eastAsia" w:ascii="宋体" w:hAnsi="宋体" w:eastAsia="宋体" w:cs="宋体"/>
                <w:sz w:val="24"/>
              </w:rPr>
              <w:t>外协工具核销</w:t>
            </w:r>
          </w:p>
        </w:tc>
        <w:tc>
          <w:tcPr>
            <w:tcW w:w="6198" w:type="dxa"/>
            <w:tcBorders>
              <w:top w:val="single" w:color="auto" w:sz="4" w:space="0"/>
              <w:left w:val="single" w:color="auto" w:sz="4" w:space="0"/>
              <w:bottom w:val="single" w:color="auto" w:sz="4" w:space="0"/>
              <w:right w:val="single" w:color="auto" w:sz="4" w:space="0"/>
            </w:tcBorders>
            <w:vAlign w:val="center"/>
          </w:tcPr>
          <w:p w14:paraId="44F31C63">
            <w:pPr>
              <w:spacing w:line="400" w:lineRule="exact"/>
              <w:jc w:val="left"/>
              <w:rPr>
                <w:rFonts w:hint="eastAsia" w:eastAsiaTheme="minorEastAsia"/>
                <w:lang w:eastAsia="zh-CN"/>
              </w:rPr>
            </w:pPr>
            <w:r>
              <w:rPr>
                <w:rFonts w:hint="eastAsia" w:ascii="宋体" w:hAnsi="宋体" w:eastAsia="宋体" w:cs="宋体"/>
                <w:sz w:val="24"/>
                <w:lang w:eastAsia="zh-CN"/>
              </w:rPr>
              <w:t>外协工具核销采用清单方式展示，核销展示内容包括需核销的工具和消耗品清单，清单内容包括工具名称、工具数量、复选框，同时根据工具绑定情况展示外协人员身份信息、入监时间。</w:t>
            </w:r>
          </w:p>
        </w:tc>
        <w:tc>
          <w:tcPr>
            <w:tcW w:w="932" w:type="dxa"/>
            <w:vMerge w:val="continue"/>
            <w:tcBorders>
              <w:left w:val="single" w:color="auto" w:sz="4" w:space="0"/>
              <w:right w:val="single" w:color="auto" w:sz="4" w:space="0"/>
            </w:tcBorders>
            <w:vAlign w:val="center"/>
          </w:tcPr>
          <w:p w14:paraId="05C11F0A">
            <w:pPr>
              <w:spacing w:line="400" w:lineRule="exact"/>
              <w:jc w:val="center"/>
            </w:pPr>
          </w:p>
        </w:tc>
      </w:tr>
      <w:tr w14:paraId="3516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0AC7890C">
            <w:pPr>
              <w:spacing w:line="400" w:lineRule="exact"/>
              <w:jc w:val="center"/>
            </w:pPr>
            <w:r>
              <w:rPr>
                <w:rFonts w:hint="eastAsia" w:ascii="宋体" w:hAnsi="宋体" w:eastAsia="宋体" w:cs="宋体"/>
                <w:sz w:val="24"/>
              </w:rPr>
              <w:t>3</w:t>
            </w:r>
          </w:p>
        </w:tc>
        <w:tc>
          <w:tcPr>
            <w:tcW w:w="1219" w:type="dxa"/>
            <w:tcBorders>
              <w:top w:val="single" w:color="auto" w:sz="4" w:space="0"/>
              <w:left w:val="single" w:color="auto" w:sz="4" w:space="0"/>
              <w:bottom w:val="single" w:color="auto" w:sz="4" w:space="0"/>
              <w:right w:val="single" w:color="auto" w:sz="4" w:space="0"/>
            </w:tcBorders>
            <w:vAlign w:val="center"/>
          </w:tcPr>
          <w:p w14:paraId="307036A3">
            <w:pPr>
              <w:spacing w:line="400" w:lineRule="exact"/>
              <w:jc w:val="center"/>
            </w:pPr>
            <w:r>
              <w:rPr>
                <w:rFonts w:hint="eastAsia" w:ascii="宋体" w:hAnsi="宋体" w:eastAsia="宋体" w:cs="宋体"/>
                <w:sz w:val="24"/>
              </w:rPr>
              <w:t>工具记录及统计</w:t>
            </w:r>
          </w:p>
        </w:tc>
        <w:tc>
          <w:tcPr>
            <w:tcW w:w="6198" w:type="dxa"/>
            <w:tcBorders>
              <w:top w:val="single" w:color="auto" w:sz="4" w:space="0"/>
              <w:left w:val="single" w:color="auto" w:sz="4" w:space="0"/>
              <w:bottom w:val="single" w:color="auto" w:sz="4" w:space="0"/>
              <w:right w:val="single" w:color="auto" w:sz="4" w:space="0"/>
            </w:tcBorders>
            <w:vAlign w:val="center"/>
          </w:tcPr>
          <w:p w14:paraId="0638CCA6">
            <w:pPr>
              <w:spacing w:line="400" w:lineRule="exact"/>
              <w:jc w:val="left"/>
            </w:pPr>
            <w:r>
              <w:rPr>
                <w:rFonts w:hint="eastAsia" w:ascii="宋体" w:hAnsi="宋体" w:eastAsia="宋体" w:cs="宋体"/>
                <w:sz w:val="24"/>
              </w:rPr>
              <w:t>可通过PC端或警务通手机端查看工具进出监情况，可查看详细工具清单、工具核销状态，支持通过外协人员身份信息及入监时间条件查询，管理民警可手动修改工具核销状态。工具进出监统计支持</w:t>
            </w:r>
            <w:r>
              <w:rPr>
                <w:rFonts w:hint="eastAsia" w:ascii="宋体" w:hAnsi="宋体" w:eastAsia="宋体" w:cs="宋体"/>
                <w:sz w:val="24"/>
                <w:lang w:eastAsia="zh-CN"/>
              </w:rPr>
              <w:t>福建省监狱管理局</w:t>
            </w:r>
            <w:r>
              <w:rPr>
                <w:rFonts w:hint="eastAsia" w:ascii="宋体" w:hAnsi="宋体" w:eastAsia="宋体" w:cs="宋体"/>
                <w:sz w:val="24"/>
              </w:rPr>
              <w:t>指定模板包括进监时间、出监时间、工具携带人、工具清单、进监工具、出监工具、进监事由。</w:t>
            </w:r>
          </w:p>
        </w:tc>
        <w:tc>
          <w:tcPr>
            <w:tcW w:w="932" w:type="dxa"/>
            <w:vMerge w:val="continue"/>
            <w:tcBorders>
              <w:left w:val="single" w:color="auto" w:sz="4" w:space="0"/>
              <w:bottom w:val="single" w:color="auto" w:sz="4" w:space="0"/>
              <w:right w:val="single" w:color="auto" w:sz="4" w:space="0"/>
            </w:tcBorders>
            <w:vAlign w:val="center"/>
          </w:tcPr>
          <w:p w14:paraId="005AB847">
            <w:pPr>
              <w:spacing w:line="400" w:lineRule="exact"/>
              <w:jc w:val="center"/>
            </w:pPr>
          </w:p>
        </w:tc>
      </w:tr>
      <w:tr w14:paraId="2439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9" w:type="dxa"/>
            <w:gridSpan w:val="3"/>
            <w:tcBorders>
              <w:top w:val="single" w:color="auto" w:sz="4" w:space="0"/>
              <w:left w:val="single" w:color="auto" w:sz="4" w:space="0"/>
              <w:bottom w:val="single" w:color="auto" w:sz="4" w:space="0"/>
              <w:right w:val="single" w:color="auto" w:sz="4" w:space="0"/>
            </w:tcBorders>
            <w:vAlign w:val="center"/>
          </w:tcPr>
          <w:p w14:paraId="141B694B">
            <w:pPr>
              <w:spacing w:line="400" w:lineRule="exact"/>
              <w:jc w:val="left"/>
            </w:pPr>
            <w:r>
              <w:rPr>
                <w:rFonts w:hint="eastAsia" w:ascii="宋体" w:hAnsi="宋体" w:eastAsia="宋体" w:cs="宋体"/>
                <w:sz w:val="24"/>
              </w:rPr>
              <w:t>3.刑释/零星外出管理系统</w:t>
            </w:r>
          </w:p>
        </w:tc>
        <w:tc>
          <w:tcPr>
            <w:tcW w:w="932" w:type="dxa"/>
            <w:vMerge w:val="restart"/>
            <w:tcBorders>
              <w:top w:val="single" w:color="auto" w:sz="4" w:space="0"/>
              <w:left w:val="single" w:color="auto" w:sz="4" w:space="0"/>
              <w:right w:val="single" w:color="auto" w:sz="4" w:space="0"/>
            </w:tcBorders>
            <w:vAlign w:val="center"/>
          </w:tcPr>
          <w:p w14:paraId="079309CC">
            <w:pPr>
              <w:spacing w:line="400" w:lineRule="exact"/>
              <w:jc w:val="center"/>
            </w:pPr>
            <w:r>
              <w:rPr>
                <w:rFonts w:hint="eastAsia" w:ascii="宋体" w:hAnsi="宋体" w:eastAsia="宋体" w:cs="宋体"/>
                <w:sz w:val="24"/>
              </w:rPr>
              <w:t>1套</w:t>
            </w:r>
          </w:p>
        </w:tc>
      </w:tr>
      <w:tr w14:paraId="4122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404C08B7">
            <w:pPr>
              <w:spacing w:line="400" w:lineRule="exact"/>
              <w:jc w:val="center"/>
            </w:pPr>
            <w:r>
              <w:rPr>
                <w:rFonts w:hint="eastAsia" w:ascii="宋体" w:hAnsi="宋体" w:eastAsia="宋体" w:cs="宋体"/>
                <w:sz w:val="24"/>
              </w:rPr>
              <w:t>1</w:t>
            </w:r>
          </w:p>
        </w:tc>
        <w:tc>
          <w:tcPr>
            <w:tcW w:w="1219" w:type="dxa"/>
            <w:tcBorders>
              <w:top w:val="single" w:color="auto" w:sz="4" w:space="0"/>
              <w:left w:val="single" w:color="auto" w:sz="4" w:space="0"/>
              <w:bottom w:val="single" w:color="auto" w:sz="4" w:space="0"/>
              <w:right w:val="single" w:color="auto" w:sz="4" w:space="0"/>
            </w:tcBorders>
            <w:vAlign w:val="center"/>
          </w:tcPr>
          <w:p w14:paraId="220DEA64">
            <w:pPr>
              <w:spacing w:line="400" w:lineRule="exact"/>
              <w:jc w:val="center"/>
            </w:pPr>
            <w:r>
              <w:rPr>
                <w:rFonts w:hint="eastAsia" w:ascii="宋体" w:hAnsi="宋体" w:eastAsia="宋体" w:cs="宋体"/>
                <w:sz w:val="24"/>
              </w:rPr>
              <w:t>刑释外出管理</w:t>
            </w:r>
          </w:p>
        </w:tc>
        <w:tc>
          <w:tcPr>
            <w:tcW w:w="6198" w:type="dxa"/>
            <w:tcBorders>
              <w:top w:val="single" w:color="auto" w:sz="4" w:space="0"/>
              <w:left w:val="single" w:color="auto" w:sz="4" w:space="0"/>
              <w:bottom w:val="single" w:color="auto" w:sz="4" w:space="0"/>
              <w:right w:val="single" w:color="auto" w:sz="4" w:space="0"/>
            </w:tcBorders>
            <w:vAlign w:val="center"/>
          </w:tcPr>
          <w:p w14:paraId="0DCE22BA">
            <w:pPr>
              <w:spacing w:line="400" w:lineRule="exact"/>
              <w:jc w:val="left"/>
            </w:pPr>
            <w:r>
              <w:rPr>
                <w:rFonts w:hint="eastAsia" w:ascii="宋体" w:hAnsi="宋体" w:eastAsia="宋体" w:cs="宋体"/>
                <w:sz w:val="24"/>
              </w:rPr>
              <w:t>刑释外出采用人脸生物核验及掌静脉方式双重核验，核验通过后，由陪同民警人脸识别绑定，实现刑释出监核验，完成核验后武警岗及</w:t>
            </w:r>
            <w:r>
              <w:rPr>
                <w:rFonts w:hint="eastAsia" w:ascii="宋体" w:hAnsi="宋体" w:cs="宋体"/>
                <w:sz w:val="24"/>
              </w:rPr>
              <w:t>值班民警</w:t>
            </w:r>
            <w:r>
              <w:rPr>
                <w:rFonts w:hint="eastAsia" w:ascii="宋体" w:hAnsi="宋体" w:eastAsia="宋体" w:cs="宋体"/>
                <w:sz w:val="24"/>
              </w:rPr>
              <w:t>展示刑释人员信息，同时自动生成刑释核验记录包括：</w:t>
            </w:r>
            <w:r>
              <w:rPr>
                <w:rFonts w:hint="eastAsia" w:ascii="宋体" w:hAnsi="宋体" w:eastAsia="宋体" w:cs="宋体"/>
                <w:color w:val="333333"/>
                <w:sz w:val="24"/>
                <w:shd w:val="clear" w:color="auto" w:fill="FFFFFF"/>
              </w:rPr>
              <w:t>被监管人员</w:t>
            </w:r>
            <w:r>
              <w:rPr>
                <w:rFonts w:hint="eastAsia" w:ascii="宋体" w:hAnsi="宋体" w:eastAsia="宋体" w:cs="宋体"/>
                <w:sz w:val="24"/>
              </w:rPr>
              <w:t>编号、</w:t>
            </w:r>
            <w:r>
              <w:rPr>
                <w:rFonts w:hint="eastAsia" w:ascii="宋体" w:hAnsi="宋体" w:eastAsia="宋体" w:cs="宋体"/>
                <w:color w:val="333333"/>
                <w:sz w:val="24"/>
                <w:shd w:val="clear" w:color="auto" w:fill="FFFFFF"/>
              </w:rPr>
              <w:t>被监管人员</w:t>
            </w:r>
            <w:r>
              <w:rPr>
                <w:rFonts w:hint="eastAsia" w:ascii="宋体" w:hAnsi="宋体" w:eastAsia="宋体" w:cs="宋体"/>
                <w:sz w:val="24"/>
              </w:rPr>
              <w:t>姓名、所属监区、经办民警、刑释日期、</w:t>
            </w:r>
            <w:r>
              <w:rPr>
                <w:rFonts w:hint="eastAsia" w:ascii="宋体" w:hAnsi="宋体" w:cs="宋体"/>
                <w:sz w:val="24"/>
              </w:rPr>
              <w:t>值班民警</w:t>
            </w:r>
            <w:r>
              <w:rPr>
                <w:rFonts w:hint="eastAsia" w:ascii="宋体" w:hAnsi="宋体" w:eastAsia="宋体" w:cs="宋体"/>
                <w:sz w:val="24"/>
              </w:rPr>
              <w:t>核验状态、武警岗核验状态。</w:t>
            </w:r>
          </w:p>
        </w:tc>
        <w:tc>
          <w:tcPr>
            <w:tcW w:w="932" w:type="dxa"/>
            <w:vMerge w:val="continue"/>
            <w:tcBorders>
              <w:left w:val="single" w:color="auto" w:sz="4" w:space="0"/>
              <w:right w:val="single" w:color="auto" w:sz="4" w:space="0"/>
            </w:tcBorders>
            <w:vAlign w:val="center"/>
          </w:tcPr>
          <w:p w14:paraId="708BCB2B">
            <w:pPr>
              <w:spacing w:line="400" w:lineRule="exact"/>
              <w:jc w:val="center"/>
            </w:pPr>
          </w:p>
        </w:tc>
      </w:tr>
      <w:tr w14:paraId="4148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11E96EC9">
            <w:pPr>
              <w:spacing w:line="400" w:lineRule="exact"/>
              <w:jc w:val="center"/>
            </w:pPr>
            <w:r>
              <w:rPr>
                <w:rFonts w:hint="eastAsia" w:ascii="宋体" w:hAnsi="宋体" w:eastAsia="宋体" w:cs="宋体"/>
                <w:sz w:val="24"/>
              </w:rPr>
              <w:t>2</w:t>
            </w:r>
          </w:p>
        </w:tc>
        <w:tc>
          <w:tcPr>
            <w:tcW w:w="1219" w:type="dxa"/>
            <w:tcBorders>
              <w:top w:val="single" w:color="auto" w:sz="4" w:space="0"/>
              <w:left w:val="single" w:color="auto" w:sz="4" w:space="0"/>
              <w:bottom w:val="single" w:color="auto" w:sz="4" w:space="0"/>
              <w:right w:val="single" w:color="auto" w:sz="4" w:space="0"/>
            </w:tcBorders>
            <w:vAlign w:val="center"/>
          </w:tcPr>
          <w:p w14:paraId="73364CF4">
            <w:pPr>
              <w:spacing w:line="400" w:lineRule="exact"/>
              <w:jc w:val="center"/>
            </w:pPr>
            <w:r>
              <w:rPr>
                <w:rFonts w:hint="eastAsia" w:ascii="宋体" w:hAnsi="宋体" w:eastAsia="宋体" w:cs="宋体"/>
                <w:sz w:val="24"/>
              </w:rPr>
              <w:t>零星外出管理</w:t>
            </w:r>
          </w:p>
        </w:tc>
        <w:tc>
          <w:tcPr>
            <w:tcW w:w="6198" w:type="dxa"/>
            <w:tcBorders>
              <w:top w:val="single" w:color="auto" w:sz="4" w:space="0"/>
              <w:left w:val="single" w:color="auto" w:sz="4" w:space="0"/>
              <w:bottom w:val="single" w:color="auto" w:sz="4" w:space="0"/>
              <w:right w:val="single" w:color="auto" w:sz="4" w:space="0"/>
            </w:tcBorders>
            <w:vAlign w:val="center"/>
          </w:tcPr>
          <w:p w14:paraId="71D35D2E">
            <w:pPr>
              <w:spacing w:line="400" w:lineRule="exact"/>
              <w:jc w:val="left"/>
              <w:rPr>
                <w:rFonts w:eastAsia="宋体"/>
              </w:rPr>
            </w:pPr>
            <w:r>
              <w:rPr>
                <w:rFonts w:hint="eastAsia" w:ascii="宋体" w:hAnsi="宋体" w:eastAsia="宋体" w:cs="宋体"/>
                <w:sz w:val="24"/>
              </w:rPr>
              <w:t>零星外出管理包括外诊、外调、保外等，通过警务通手机端由车道岗值班人员操作登记、人脸识别验证并绑定陪同民警，归队时同样通过车道岗值班民警警务通人脸识别核验归队，从而形成完整的进出监档案，提供查询统计功能，支持自定义自定义外出类型。</w:t>
            </w:r>
          </w:p>
        </w:tc>
        <w:tc>
          <w:tcPr>
            <w:tcW w:w="932" w:type="dxa"/>
            <w:vMerge w:val="continue"/>
            <w:tcBorders>
              <w:left w:val="single" w:color="auto" w:sz="4" w:space="0"/>
              <w:bottom w:val="single" w:color="auto" w:sz="4" w:space="0"/>
              <w:right w:val="single" w:color="auto" w:sz="4" w:space="0"/>
            </w:tcBorders>
            <w:vAlign w:val="center"/>
          </w:tcPr>
          <w:p w14:paraId="1A360B71">
            <w:pPr>
              <w:spacing w:line="400" w:lineRule="exact"/>
              <w:jc w:val="center"/>
            </w:pPr>
          </w:p>
        </w:tc>
      </w:tr>
      <w:tr w14:paraId="55BD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9" w:type="dxa"/>
            <w:gridSpan w:val="3"/>
            <w:tcBorders>
              <w:top w:val="single" w:color="auto" w:sz="4" w:space="0"/>
              <w:left w:val="single" w:color="auto" w:sz="4" w:space="0"/>
              <w:bottom w:val="single" w:color="auto" w:sz="4" w:space="0"/>
              <w:right w:val="single" w:color="auto" w:sz="4" w:space="0"/>
            </w:tcBorders>
            <w:vAlign w:val="center"/>
          </w:tcPr>
          <w:p w14:paraId="09B8FF86">
            <w:pPr>
              <w:spacing w:line="400" w:lineRule="exact"/>
              <w:jc w:val="left"/>
            </w:pPr>
            <w:r>
              <w:rPr>
                <w:rFonts w:hint="eastAsia" w:ascii="宋体" w:hAnsi="宋体" w:eastAsia="宋体" w:cs="宋体"/>
                <w:sz w:val="24"/>
              </w:rPr>
              <w:t>4.车道管理系统</w:t>
            </w:r>
          </w:p>
        </w:tc>
        <w:tc>
          <w:tcPr>
            <w:tcW w:w="932" w:type="dxa"/>
            <w:vMerge w:val="restart"/>
            <w:tcBorders>
              <w:top w:val="single" w:color="auto" w:sz="4" w:space="0"/>
              <w:left w:val="single" w:color="auto" w:sz="4" w:space="0"/>
              <w:right w:val="single" w:color="auto" w:sz="4" w:space="0"/>
            </w:tcBorders>
            <w:vAlign w:val="center"/>
          </w:tcPr>
          <w:p w14:paraId="3A256EDC">
            <w:pPr>
              <w:spacing w:line="400" w:lineRule="exact"/>
              <w:jc w:val="center"/>
            </w:pPr>
            <w:r>
              <w:rPr>
                <w:rFonts w:hint="eastAsia" w:ascii="宋体" w:hAnsi="宋体" w:eastAsia="宋体" w:cs="宋体"/>
                <w:sz w:val="24"/>
              </w:rPr>
              <w:t>1套</w:t>
            </w:r>
          </w:p>
        </w:tc>
      </w:tr>
      <w:tr w14:paraId="437B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3B0472A9">
            <w:pPr>
              <w:spacing w:line="400" w:lineRule="exact"/>
              <w:jc w:val="center"/>
            </w:pPr>
            <w:r>
              <w:rPr>
                <w:rFonts w:hint="eastAsia" w:ascii="宋体" w:hAnsi="宋体" w:eastAsia="宋体" w:cs="宋体"/>
                <w:sz w:val="24"/>
              </w:rPr>
              <w:t>1</w:t>
            </w:r>
          </w:p>
        </w:tc>
        <w:tc>
          <w:tcPr>
            <w:tcW w:w="1219" w:type="dxa"/>
            <w:tcBorders>
              <w:top w:val="single" w:color="auto" w:sz="4" w:space="0"/>
              <w:left w:val="single" w:color="auto" w:sz="4" w:space="0"/>
              <w:bottom w:val="single" w:color="auto" w:sz="4" w:space="0"/>
              <w:right w:val="single" w:color="auto" w:sz="4" w:space="0"/>
            </w:tcBorders>
            <w:vAlign w:val="center"/>
          </w:tcPr>
          <w:p w14:paraId="03D63FFC">
            <w:pPr>
              <w:spacing w:line="400" w:lineRule="exact"/>
              <w:jc w:val="center"/>
            </w:pPr>
            <w:r>
              <w:rPr>
                <w:rFonts w:hint="eastAsia" w:ascii="宋体" w:hAnsi="宋体" w:eastAsia="宋体" w:cs="宋体"/>
                <w:sz w:val="24"/>
              </w:rPr>
              <w:t>车辆信息管理</w:t>
            </w:r>
          </w:p>
        </w:tc>
        <w:tc>
          <w:tcPr>
            <w:tcW w:w="6198" w:type="dxa"/>
            <w:tcBorders>
              <w:top w:val="single" w:color="auto" w:sz="4" w:space="0"/>
              <w:left w:val="single" w:color="auto" w:sz="4" w:space="0"/>
              <w:bottom w:val="single" w:color="auto" w:sz="4" w:space="0"/>
              <w:right w:val="single" w:color="auto" w:sz="4" w:space="0"/>
            </w:tcBorders>
            <w:vAlign w:val="center"/>
          </w:tcPr>
          <w:p w14:paraId="10995A49">
            <w:pPr>
              <w:spacing w:line="400" w:lineRule="exact"/>
              <w:jc w:val="left"/>
            </w:pPr>
            <w:r>
              <w:rPr>
                <w:rFonts w:hint="eastAsia" w:ascii="宋体" w:hAnsi="宋体" w:eastAsia="宋体" w:cs="宋体"/>
                <w:b w:val="0"/>
                <w:bCs w:val="0"/>
                <w:color w:val="auto"/>
                <w:sz w:val="24"/>
                <w:highlight w:val="none"/>
                <w:lang w:eastAsia="zh-CN"/>
              </w:rPr>
              <w:t>管理驾驶员库、内部车辆库、长期车辆库、临时车辆库，针对内部车辆和长期车辆可实现快捷的登记核查、编辑、删除功能，绑定车辆车牌号和登记外协人员，支持表格导入功能。</w:t>
            </w:r>
          </w:p>
        </w:tc>
        <w:tc>
          <w:tcPr>
            <w:tcW w:w="932" w:type="dxa"/>
            <w:vMerge w:val="continue"/>
            <w:tcBorders>
              <w:left w:val="single" w:color="auto" w:sz="4" w:space="0"/>
              <w:right w:val="single" w:color="auto" w:sz="4" w:space="0"/>
            </w:tcBorders>
            <w:vAlign w:val="center"/>
          </w:tcPr>
          <w:p w14:paraId="027A3123">
            <w:pPr>
              <w:spacing w:line="400" w:lineRule="exact"/>
              <w:jc w:val="center"/>
            </w:pPr>
          </w:p>
        </w:tc>
      </w:tr>
      <w:tr w14:paraId="519A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17F39132">
            <w:pPr>
              <w:spacing w:line="400" w:lineRule="exact"/>
              <w:jc w:val="center"/>
              <w:rPr>
                <w:rFonts w:ascii="宋体" w:hAnsi="宋体" w:eastAsia="宋体" w:cs="宋体"/>
                <w:sz w:val="24"/>
              </w:rPr>
            </w:pPr>
            <w:r>
              <w:rPr>
                <w:rFonts w:hint="eastAsia" w:ascii="宋体" w:hAnsi="宋体" w:eastAsia="宋体" w:cs="宋体"/>
                <w:sz w:val="24"/>
              </w:rPr>
              <w:t>2</w:t>
            </w:r>
          </w:p>
        </w:tc>
        <w:tc>
          <w:tcPr>
            <w:tcW w:w="1219" w:type="dxa"/>
            <w:tcBorders>
              <w:top w:val="single" w:color="auto" w:sz="4" w:space="0"/>
              <w:left w:val="single" w:color="auto" w:sz="4" w:space="0"/>
              <w:bottom w:val="single" w:color="auto" w:sz="4" w:space="0"/>
              <w:right w:val="single" w:color="auto" w:sz="4" w:space="0"/>
            </w:tcBorders>
            <w:vAlign w:val="center"/>
          </w:tcPr>
          <w:p w14:paraId="4198E0B1">
            <w:pPr>
              <w:spacing w:line="400" w:lineRule="exact"/>
              <w:jc w:val="center"/>
              <w:rPr>
                <w:rFonts w:ascii="宋体" w:hAnsi="宋体" w:eastAsia="宋体" w:cs="宋体"/>
                <w:sz w:val="24"/>
              </w:rPr>
            </w:pPr>
            <w:r>
              <w:rPr>
                <w:rFonts w:hint="eastAsia" w:ascii="宋体" w:hAnsi="宋体" w:eastAsia="宋体" w:cs="宋体"/>
                <w:sz w:val="24"/>
              </w:rPr>
              <w:t>车辆入监管理</w:t>
            </w:r>
          </w:p>
        </w:tc>
        <w:tc>
          <w:tcPr>
            <w:tcW w:w="6198" w:type="dxa"/>
            <w:tcBorders>
              <w:top w:val="single" w:color="auto" w:sz="4" w:space="0"/>
              <w:left w:val="single" w:color="auto" w:sz="4" w:space="0"/>
              <w:bottom w:val="single" w:color="auto" w:sz="4" w:space="0"/>
              <w:right w:val="single" w:color="auto" w:sz="4" w:space="0"/>
            </w:tcBorders>
            <w:vAlign w:val="center"/>
          </w:tcPr>
          <w:p w14:paraId="1E29F549">
            <w:pPr>
              <w:spacing w:line="400" w:lineRule="exact"/>
              <w:jc w:val="left"/>
              <w:rPr>
                <w:rFonts w:ascii="宋体" w:hAnsi="宋体" w:eastAsia="宋体" w:cs="宋体"/>
                <w:sz w:val="24"/>
              </w:rPr>
            </w:pPr>
            <w:r>
              <w:rPr>
                <w:rFonts w:hint="eastAsia" w:ascii="宋体" w:hAnsi="宋体" w:eastAsia="宋体" w:cs="宋体"/>
                <w:sz w:val="24"/>
              </w:rPr>
              <w:t>车辆入监时通过车道门口车牌抓拍摄像头获取并核验当前车辆是否已经完成入监审批，并将核验结果通过可视大屏展示给车道岗值班民警执勤电脑端及车道大门屏幕，由车道值班民警查看审批状态并手动开门，同时车道值班民警通过车道管控终端手动核验并通过驾驶员身份验证绑定入监车辆记录</w:t>
            </w:r>
            <w:r>
              <w:rPr>
                <w:rFonts w:hint="eastAsia" w:ascii="宋体" w:hAnsi="宋体" w:cs="宋体"/>
                <w:sz w:val="24"/>
              </w:rPr>
              <w:t>。</w:t>
            </w:r>
          </w:p>
        </w:tc>
        <w:tc>
          <w:tcPr>
            <w:tcW w:w="932" w:type="dxa"/>
            <w:vMerge w:val="continue"/>
            <w:tcBorders>
              <w:left w:val="single" w:color="auto" w:sz="4" w:space="0"/>
              <w:right w:val="single" w:color="auto" w:sz="4" w:space="0"/>
            </w:tcBorders>
            <w:vAlign w:val="center"/>
          </w:tcPr>
          <w:p w14:paraId="66A058C3">
            <w:pPr>
              <w:spacing w:line="400" w:lineRule="exact"/>
              <w:jc w:val="center"/>
            </w:pPr>
          </w:p>
        </w:tc>
      </w:tr>
      <w:tr w14:paraId="49BD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018D40D2">
            <w:pPr>
              <w:spacing w:line="400" w:lineRule="exact"/>
              <w:jc w:val="center"/>
              <w:rPr>
                <w:rFonts w:ascii="宋体" w:hAnsi="宋体" w:eastAsia="宋体" w:cs="宋体"/>
                <w:sz w:val="24"/>
              </w:rPr>
            </w:pPr>
            <w:r>
              <w:rPr>
                <w:rFonts w:hint="eastAsia" w:ascii="宋体" w:hAnsi="宋体" w:eastAsia="宋体" w:cs="宋体"/>
                <w:sz w:val="24"/>
              </w:rPr>
              <w:t>3</w:t>
            </w:r>
          </w:p>
        </w:tc>
        <w:tc>
          <w:tcPr>
            <w:tcW w:w="1219" w:type="dxa"/>
            <w:tcBorders>
              <w:top w:val="single" w:color="auto" w:sz="4" w:space="0"/>
              <w:left w:val="single" w:color="auto" w:sz="4" w:space="0"/>
              <w:bottom w:val="single" w:color="auto" w:sz="4" w:space="0"/>
              <w:right w:val="single" w:color="auto" w:sz="4" w:space="0"/>
            </w:tcBorders>
            <w:vAlign w:val="center"/>
          </w:tcPr>
          <w:p w14:paraId="718AA9D9">
            <w:pPr>
              <w:spacing w:line="400" w:lineRule="exact"/>
              <w:jc w:val="center"/>
              <w:rPr>
                <w:rFonts w:ascii="宋体" w:hAnsi="宋体" w:eastAsia="宋体" w:cs="宋体"/>
                <w:sz w:val="24"/>
              </w:rPr>
            </w:pPr>
            <w:r>
              <w:rPr>
                <w:rFonts w:hint="eastAsia" w:ascii="宋体" w:hAnsi="宋体" w:eastAsia="宋体" w:cs="宋体"/>
                <w:sz w:val="24"/>
              </w:rPr>
              <w:t>车辆出监管理</w:t>
            </w:r>
          </w:p>
        </w:tc>
        <w:tc>
          <w:tcPr>
            <w:tcW w:w="6198" w:type="dxa"/>
            <w:tcBorders>
              <w:top w:val="single" w:color="auto" w:sz="4" w:space="0"/>
              <w:left w:val="single" w:color="auto" w:sz="4" w:space="0"/>
              <w:bottom w:val="single" w:color="auto" w:sz="4" w:space="0"/>
              <w:right w:val="single" w:color="auto" w:sz="4" w:space="0"/>
            </w:tcBorders>
            <w:vAlign w:val="center"/>
          </w:tcPr>
          <w:p w14:paraId="13714AE5">
            <w:pPr>
              <w:spacing w:line="400" w:lineRule="exact"/>
              <w:jc w:val="left"/>
              <w:rPr>
                <w:rFonts w:ascii="宋体" w:hAnsi="宋体" w:eastAsia="宋体" w:cs="宋体"/>
                <w:sz w:val="24"/>
                <w:highlight w:val="none"/>
              </w:rPr>
            </w:pPr>
            <w:r>
              <w:rPr>
                <w:rFonts w:hint="eastAsia" w:ascii="宋体" w:hAnsi="宋体" w:eastAsia="宋体" w:cs="宋体"/>
                <w:sz w:val="24"/>
                <w:highlight w:val="none"/>
              </w:rPr>
              <w:t>车辆出监进入车道触发车底扫描设备，自动扫描车底照片，并同时将结果展示大屏中，车牌抓拍等检查完成后，车道值班民警通过车道管控终端手动核销车辆，形成车辆出入闭环轨迹。</w:t>
            </w:r>
          </w:p>
        </w:tc>
        <w:tc>
          <w:tcPr>
            <w:tcW w:w="932" w:type="dxa"/>
            <w:vMerge w:val="continue"/>
            <w:tcBorders>
              <w:left w:val="single" w:color="auto" w:sz="4" w:space="0"/>
              <w:right w:val="single" w:color="auto" w:sz="4" w:space="0"/>
            </w:tcBorders>
            <w:vAlign w:val="center"/>
          </w:tcPr>
          <w:p w14:paraId="2AFA2D1C">
            <w:pPr>
              <w:spacing w:line="400" w:lineRule="exact"/>
              <w:jc w:val="center"/>
            </w:pPr>
          </w:p>
        </w:tc>
      </w:tr>
      <w:tr w14:paraId="3DC2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01C329F1">
            <w:pPr>
              <w:spacing w:line="400" w:lineRule="exact"/>
              <w:jc w:val="center"/>
              <w:rPr>
                <w:rFonts w:ascii="宋体" w:hAnsi="宋体" w:eastAsia="宋体" w:cs="宋体"/>
                <w:sz w:val="24"/>
              </w:rPr>
            </w:pPr>
            <w:r>
              <w:rPr>
                <w:rFonts w:hint="eastAsia" w:ascii="宋体" w:hAnsi="宋体" w:eastAsia="宋体" w:cs="宋体"/>
                <w:sz w:val="24"/>
              </w:rPr>
              <w:t>4</w:t>
            </w:r>
          </w:p>
        </w:tc>
        <w:tc>
          <w:tcPr>
            <w:tcW w:w="1219" w:type="dxa"/>
            <w:tcBorders>
              <w:top w:val="single" w:color="auto" w:sz="4" w:space="0"/>
              <w:left w:val="single" w:color="auto" w:sz="4" w:space="0"/>
              <w:bottom w:val="single" w:color="auto" w:sz="4" w:space="0"/>
              <w:right w:val="single" w:color="auto" w:sz="4" w:space="0"/>
            </w:tcBorders>
            <w:vAlign w:val="center"/>
          </w:tcPr>
          <w:p w14:paraId="62C015EF">
            <w:pPr>
              <w:spacing w:line="400" w:lineRule="exact"/>
              <w:jc w:val="center"/>
              <w:rPr>
                <w:rFonts w:ascii="宋体" w:hAnsi="宋体" w:eastAsia="宋体" w:cs="宋体"/>
                <w:sz w:val="24"/>
              </w:rPr>
            </w:pPr>
            <w:r>
              <w:rPr>
                <w:rFonts w:hint="eastAsia" w:ascii="宋体" w:hAnsi="宋体" w:eastAsia="宋体" w:cs="宋体"/>
                <w:sz w:val="24"/>
              </w:rPr>
              <w:t>车道记录管理</w:t>
            </w:r>
          </w:p>
        </w:tc>
        <w:tc>
          <w:tcPr>
            <w:tcW w:w="6198" w:type="dxa"/>
            <w:tcBorders>
              <w:top w:val="single" w:color="auto" w:sz="4" w:space="0"/>
              <w:left w:val="single" w:color="auto" w:sz="4" w:space="0"/>
              <w:bottom w:val="single" w:color="auto" w:sz="4" w:space="0"/>
              <w:right w:val="single" w:color="auto" w:sz="4" w:space="0"/>
            </w:tcBorders>
            <w:vAlign w:val="center"/>
          </w:tcPr>
          <w:p w14:paraId="14ACADC5">
            <w:pPr>
              <w:spacing w:line="400" w:lineRule="exact"/>
              <w:jc w:val="left"/>
              <w:rPr>
                <w:rFonts w:ascii="宋体" w:hAnsi="宋体" w:eastAsia="宋体" w:cs="宋体"/>
                <w:sz w:val="24"/>
                <w:highlight w:val="none"/>
              </w:rPr>
            </w:pPr>
            <w:r>
              <w:rPr>
                <w:rFonts w:hint="eastAsia" w:ascii="宋体" w:hAnsi="宋体" w:eastAsia="宋体" w:cs="宋体"/>
                <w:sz w:val="24"/>
                <w:highlight w:val="none"/>
              </w:rPr>
              <w:t>车辆进出监系统自动生成对应扫描记录包括进车辆出记录、车道抓拍记录、车底扫描记录、车道装备状态。</w:t>
            </w:r>
          </w:p>
        </w:tc>
        <w:tc>
          <w:tcPr>
            <w:tcW w:w="932" w:type="dxa"/>
            <w:vMerge w:val="continue"/>
            <w:tcBorders>
              <w:left w:val="single" w:color="auto" w:sz="4" w:space="0"/>
              <w:right w:val="single" w:color="auto" w:sz="4" w:space="0"/>
            </w:tcBorders>
            <w:vAlign w:val="center"/>
          </w:tcPr>
          <w:p w14:paraId="6BA0A14F">
            <w:pPr>
              <w:spacing w:line="400" w:lineRule="exact"/>
              <w:jc w:val="center"/>
            </w:pPr>
          </w:p>
        </w:tc>
      </w:tr>
      <w:tr w14:paraId="2CF4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712FC02C">
            <w:pPr>
              <w:spacing w:line="400" w:lineRule="exact"/>
              <w:jc w:val="center"/>
              <w:rPr>
                <w:rFonts w:ascii="宋体" w:hAnsi="宋体" w:eastAsia="宋体" w:cs="宋体"/>
                <w:sz w:val="24"/>
              </w:rPr>
            </w:pPr>
            <w:r>
              <w:rPr>
                <w:rFonts w:hint="eastAsia" w:ascii="宋体" w:hAnsi="宋体" w:eastAsia="宋体" w:cs="宋体"/>
                <w:sz w:val="24"/>
              </w:rPr>
              <w:t>5</w:t>
            </w:r>
          </w:p>
        </w:tc>
        <w:tc>
          <w:tcPr>
            <w:tcW w:w="1219" w:type="dxa"/>
            <w:tcBorders>
              <w:top w:val="single" w:color="auto" w:sz="4" w:space="0"/>
              <w:left w:val="single" w:color="auto" w:sz="4" w:space="0"/>
              <w:bottom w:val="single" w:color="auto" w:sz="4" w:space="0"/>
              <w:right w:val="single" w:color="auto" w:sz="4" w:space="0"/>
            </w:tcBorders>
            <w:vAlign w:val="center"/>
          </w:tcPr>
          <w:p w14:paraId="6F483867">
            <w:pPr>
              <w:spacing w:line="400" w:lineRule="exact"/>
              <w:jc w:val="center"/>
              <w:rPr>
                <w:rFonts w:ascii="宋体" w:hAnsi="宋体" w:eastAsia="宋体" w:cs="宋体"/>
                <w:sz w:val="24"/>
              </w:rPr>
            </w:pPr>
            <w:r>
              <w:rPr>
                <w:rFonts w:hint="eastAsia" w:ascii="宋体" w:hAnsi="宋体" w:eastAsia="宋体" w:cs="宋体"/>
                <w:sz w:val="24"/>
              </w:rPr>
              <w:t>统计汇总及看板</w:t>
            </w:r>
          </w:p>
        </w:tc>
        <w:tc>
          <w:tcPr>
            <w:tcW w:w="6198" w:type="dxa"/>
            <w:tcBorders>
              <w:top w:val="single" w:color="auto" w:sz="4" w:space="0"/>
              <w:left w:val="single" w:color="auto" w:sz="4" w:space="0"/>
              <w:bottom w:val="single" w:color="auto" w:sz="4" w:space="0"/>
              <w:right w:val="single" w:color="auto" w:sz="4" w:space="0"/>
            </w:tcBorders>
            <w:vAlign w:val="center"/>
          </w:tcPr>
          <w:p w14:paraId="66A6A7EC">
            <w:pPr>
              <w:spacing w:line="400" w:lineRule="exact"/>
              <w:jc w:val="left"/>
              <w:rPr>
                <w:rFonts w:ascii="宋体" w:hAnsi="宋体" w:eastAsia="宋体" w:cs="宋体"/>
                <w:sz w:val="24"/>
                <w:highlight w:val="none"/>
              </w:rPr>
            </w:pPr>
            <w:r>
              <w:rPr>
                <w:rFonts w:hint="eastAsia" w:ascii="宋体" w:hAnsi="宋体" w:eastAsia="宋体" w:cs="宋体"/>
                <w:sz w:val="24"/>
                <w:highlight w:val="none"/>
              </w:rPr>
              <w:t>提供车辆进出监区情况查询及统计，并能打印当日进出监日报表，可导出报表文件。车辆进出情况同步车辆看板包括车辆进监看板、车辆出监看板、车辆进出看板</w:t>
            </w:r>
            <w:r>
              <w:rPr>
                <w:rFonts w:hint="eastAsia" w:ascii="宋体" w:hAnsi="宋体" w:cs="宋体"/>
                <w:sz w:val="24"/>
                <w:highlight w:val="none"/>
              </w:rPr>
              <w:t>。</w:t>
            </w:r>
          </w:p>
        </w:tc>
        <w:tc>
          <w:tcPr>
            <w:tcW w:w="932" w:type="dxa"/>
            <w:vMerge w:val="continue"/>
            <w:tcBorders>
              <w:left w:val="single" w:color="auto" w:sz="4" w:space="0"/>
              <w:bottom w:val="single" w:color="auto" w:sz="4" w:space="0"/>
              <w:right w:val="single" w:color="auto" w:sz="4" w:space="0"/>
            </w:tcBorders>
            <w:vAlign w:val="center"/>
          </w:tcPr>
          <w:p w14:paraId="272ACB83">
            <w:pPr>
              <w:spacing w:line="400" w:lineRule="exact"/>
              <w:jc w:val="center"/>
            </w:pPr>
          </w:p>
        </w:tc>
      </w:tr>
      <w:tr w14:paraId="3B47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9" w:type="dxa"/>
            <w:gridSpan w:val="3"/>
            <w:tcBorders>
              <w:top w:val="single" w:color="auto" w:sz="4" w:space="0"/>
              <w:left w:val="single" w:color="auto" w:sz="4" w:space="0"/>
              <w:bottom w:val="single" w:color="auto" w:sz="4" w:space="0"/>
              <w:right w:val="single" w:color="auto" w:sz="4" w:space="0"/>
            </w:tcBorders>
            <w:vAlign w:val="center"/>
          </w:tcPr>
          <w:p w14:paraId="5CF2D380">
            <w:pPr>
              <w:spacing w:line="400" w:lineRule="exact"/>
              <w:jc w:val="left"/>
            </w:pPr>
            <w:r>
              <w:rPr>
                <w:rFonts w:hint="eastAsia" w:ascii="宋体" w:hAnsi="宋体" w:eastAsia="宋体" w:cs="宋体"/>
                <w:sz w:val="24"/>
              </w:rPr>
              <w:t>5.警务通手机监门管理APP</w:t>
            </w:r>
          </w:p>
        </w:tc>
        <w:tc>
          <w:tcPr>
            <w:tcW w:w="932" w:type="dxa"/>
            <w:vMerge w:val="restart"/>
            <w:tcBorders>
              <w:top w:val="single" w:color="auto" w:sz="4" w:space="0"/>
              <w:left w:val="single" w:color="auto" w:sz="4" w:space="0"/>
              <w:right w:val="single" w:color="auto" w:sz="4" w:space="0"/>
            </w:tcBorders>
            <w:vAlign w:val="center"/>
          </w:tcPr>
          <w:p w14:paraId="2AC72953">
            <w:pPr>
              <w:spacing w:line="400" w:lineRule="exact"/>
              <w:jc w:val="center"/>
            </w:pPr>
            <w:r>
              <w:rPr>
                <w:rFonts w:hint="eastAsia" w:ascii="宋体" w:hAnsi="宋体" w:eastAsia="宋体" w:cs="宋体"/>
                <w:sz w:val="24"/>
              </w:rPr>
              <w:t>1套</w:t>
            </w:r>
          </w:p>
        </w:tc>
      </w:tr>
      <w:tr w14:paraId="108F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5585B12A">
            <w:pPr>
              <w:spacing w:line="400" w:lineRule="exact"/>
              <w:jc w:val="center"/>
            </w:pPr>
            <w:r>
              <w:rPr>
                <w:rFonts w:hint="eastAsia" w:ascii="宋体" w:hAnsi="宋体" w:eastAsia="宋体" w:cs="宋体"/>
                <w:sz w:val="24"/>
              </w:rPr>
              <w:t>1</w:t>
            </w:r>
          </w:p>
        </w:tc>
        <w:tc>
          <w:tcPr>
            <w:tcW w:w="1219" w:type="dxa"/>
            <w:tcBorders>
              <w:top w:val="single" w:color="auto" w:sz="4" w:space="0"/>
              <w:left w:val="single" w:color="auto" w:sz="4" w:space="0"/>
              <w:bottom w:val="single" w:color="auto" w:sz="4" w:space="0"/>
              <w:right w:val="single" w:color="auto" w:sz="4" w:space="0"/>
            </w:tcBorders>
            <w:vAlign w:val="center"/>
          </w:tcPr>
          <w:p w14:paraId="3A4B4374">
            <w:pPr>
              <w:spacing w:line="400" w:lineRule="exact"/>
              <w:jc w:val="center"/>
            </w:pPr>
            <w:r>
              <w:rPr>
                <w:rFonts w:hint="eastAsia" w:ascii="宋体" w:hAnsi="宋体" w:eastAsia="宋体" w:cs="宋体"/>
                <w:sz w:val="24"/>
              </w:rPr>
              <w:t>可视化统计</w:t>
            </w:r>
          </w:p>
        </w:tc>
        <w:tc>
          <w:tcPr>
            <w:tcW w:w="6198" w:type="dxa"/>
            <w:tcBorders>
              <w:top w:val="single" w:color="auto" w:sz="4" w:space="0"/>
              <w:left w:val="single" w:color="auto" w:sz="4" w:space="0"/>
              <w:bottom w:val="single" w:color="auto" w:sz="4" w:space="0"/>
              <w:right w:val="single" w:color="auto" w:sz="4" w:space="0"/>
            </w:tcBorders>
            <w:vAlign w:val="center"/>
          </w:tcPr>
          <w:p w14:paraId="1563EF0C">
            <w:pPr>
              <w:spacing w:line="400" w:lineRule="exact"/>
              <w:jc w:val="left"/>
            </w:pPr>
            <w:r>
              <w:rPr>
                <w:rFonts w:hint="eastAsia" w:ascii="宋体" w:hAnsi="宋体" w:eastAsia="宋体" w:cs="宋体"/>
                <w:sz w:val="24"/>
              </w:rPr>
              <w:t>警务通手机移动端</w:t>
            </w:r>
            <w:r>
              <w:rPr>
                <w:rFonts w:hint="eastAsia" w:ascii="宋体" w:hAnsi="宋体" w:cs="宋体"/>
                <w:sz w:val="24"/>
              </w:rPr>
              <w:t>监门</w:t>
            </w:r>
            <w:r>
              <w:rPr>
                <w:rFonts w:hint="eastAsia" w:ascii="宋体" w:hAnsi="宋体" w:eastAsia="宋体" w:cs="宋体"/>
                <w:sz w:val="24"/>
              </w:rPr>
              <w:t>管理统计看板，实时查看当日入监工具、入监人员数量、入监车辆等信息。</w:t>
            </w:r>
          </w:p>
        </w:tc>
        <w:tc>
          <w:tcPr>
            <w:tcW w:w="932" w:type="dxa"/>
            <w:vMerge w:val="continue"/>
            <w:tcBorders>
              <w:left w:val="single" w:color="auto" w:sz="4" w:space="0"/>
              <w:right w:val="single" w:color="auto" w:sz="4" w:space="0"/>
            </w:tcBorders>
            <w:vAlign w:val="center"/>
          </w:tcPr>
          <w:p w14:paraId="0AA8D2E0">
            <w:pPr>
              <w:spacing w:line="400" w:lineRule="exact"/>
              <w:jc w:val="center"/>
            </w:pPr>
          </w:p>
        </w:tc>
      </w:tr>
      <w:tr w14:paraId="01D5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05D8B52C">
            <w:pPr>
              <w:spacing w:line="400" w:lineRule="exact"/>
              <w:jc w:val="center"/>
              <w:rPr>
                <w:rFonts w:ascii="宋体" w:hAnsi="宋体" w:eastAsia="宋体" w:cs="宋体"/>
                <w:sz w:val="24"/>
              </w:rPr>
            </w:pPr>
            <w:r>
              <w:rPr>
                <w:rFonts w:hint="eastAsia" w:ascii="宋体" w:hAnsi="宋体" w:eastAsia="宋体" w:cs="宋体"/>
                <w:sz w:val="24"/>
              </w:rPr>
              <w:t>2</w:t>
            </w:r>
          </w:p>
        </w:tc>
        <w:tc>
          <w:tcPr>
            <w:tcW w:w="1219" w:type="dxa"/>
            <w:tcBorders>
              <w:top w:val="single" w:color="auto" w:sz="4" w:space="0"/>
              <w:left w:val="single" w:color="auto" w:sz="4" w:space="0"/>
              <w:bottom w:val="single" w:color="auto" w:sz="4" w:space="0"/>
              <w:right w:val="single" w:color="auto" w:sz="4" w:space="0"/>
            </w:tcBorders>
            <w:vAlign w:val="center"/>
          </w:tcPr>
          <w:p w14:paraId="0D86DA04">
            <w:pPr>
              <w:spacing w:line="400" w:lineRule="exact"/>
              <w:jc w:val="center"/>
              <w:rPr>
                <w:rFonts w:ascii="宋体" w:hAnsi="宋体" w:eastAsia="宋体" w:cs="宋体"/>
                <w:sz w:val="24"/>
              </w:rPr>
            </w:pPr>
            <w:r>
              <w:rPr>
                <w:rFonts w:hint="eastAsia" w:ascii="宋体" w:hAnsi="宋体" w:eastAsia="宋体" w:cs="宋体"/>
                <w:sz w:val="24"/>
              </w:rPr>
              <w:t>入监审批</w:t>
            </w:r>
          </w:p>
        </w:tc>
        <w:tc>
          <w:tcPr>
            <w:tcW w:w="6198" w:type="dxa"/>
            <w:tcBorders>
              <w:top w:val="single" w:color="auto" w:sz="4" w:space="0"/>
              <w:left w:val="single" w:color="auto" w:sz="4" w:space="0"/>
              <w:bottom w:val="single" w:color="auto" w:sz="4" w:space="0"/>
              <w:right w:val="single" w:color="auto" w:sz="4" w:space="0"/>
            </w:tcBorders>
            <w:vAlign w:val="center"/>
          </w:tcPr>
          <w:p w14:paraId="3EFC9EA7">
            <w:pPr>
              <w:spacing w:line="400" w:lineRule="exact"/>
              <w:jc w:val="left"/>
              <w:rPr>
                <w:rFonts w:ascii="宋体" w:hAnsi="宋体" w:eastAsia="宋体" w:cs="宋体"/>
                <w:sz w:val="24"/>
              </w:rPr>
            </w:pPr>
            <w:r>
              <w:rPr>
                <w:rFonts w:hint="eastAsia" w:ascii="宋体" w:hAnsi="宋体" w:eastAsia="宋体" w:cs="宋体"/>
                <w:sz w:val="24"/>
              </w:rPr>
              <w:t>经办科室等相关科室警务通手机移动端快捷审批，优化审批流程，简化审批操作，提高民警效率，审批功能包括外协人员、车辆、工具审批，可实现外协进</w:t>
            </w:r>
            <w:r>
              <w:rPr>
                <w:rFonts w:hint="eastAsia" w:ascii="宋体" w:hAnsi="宋体" w:cs="宋体"/>
                <w:sz w:val="24"/>
              </w:rPr>
              <w:t>监</w:t>
            </w:r>
            <w:r>
              <w:rPr>
                <w:rFonts w:hint="eastAsia" w:ascii="宋体" w:hAnsi="宋体" w:eastAsia="宋体" w:cs="宋体"/>
                <w:sz w:val="24"/>
              </w:rPr>
              <w:t>审批流程流转及监控。同时支持外协人员提交入监申请。</w:t>
            </w:r>
          </w:p>
        </w:tc>
        <w:tc>
          <w:tcPr>
            <w:tcW w:w="932" w:type="dxa"/>
            <w:vMerge w:val="continue"/>
            <w:tcBorders>
              <w:left w:val="single" w:color="auto" w:sz="4" w:space="0"/>
              <w:right w:val="single" w:color="auto" w:sz="4" w:space="0"/>
            </w:tcBorders>
            <w:vAlign w:val="center"/>
          </w:tcPr>
          <w:p w14:paraId="054952E9">
            <w:pPr>
              <w:spacing w:line="400" w:lineRule="exact"/>
              <w:jc w:val="center"/>
            </w:pPr>
          </w:p>
        </w:tc>
      </w:tr>
      <w:tr w14:paraId="4BF5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76CCDCFB">
            <w:pPr>
              <w:spacing w:line="400" w:lineRule="exact"/>
              <w:jc w:val="center"/>
              <w:rPr>
                <w:rFonts w:ascii="宋体" w:hAnsi="宋体" w:eastAsia="宋体" w:cs="宋体"/>
                <w:sz w:val="24"/>
              </w:rPr>
            </w:pPr>
            <w:r>
              <w:rPr>
                <w:rFonts w:hint="eastAsia" w:ascii="宋体" w:hAnsi="宋体" w:eastAsia="宋体" w:cs="宋体"/>
                <w:sz w:val="24"/>
              </w:rPr>
              <w:t>3</w:t>
            </w:r>
          </w:p>
        </w:tc>
        <w:tc>
          <w:tcPr>
            <w:tcW w:w="1219" w:type="dxa"/>
            <w:tcBorders>
              <w:top w:val="single" w:color="auto" w:sz="4" w:space="0"/>
              <w:left w:val="single" w:color="auto" w:sz="4" w:space="0"/>
              <w:bottom w:val="single" w:color="auto" w:sz="4" w:space="0"/>
              <w:right w:val="single" w:color="auto" w:sz="4" w:space="0"/>
            </w:tcBorders>
            <w:vAlign w:val="center"/>
          </w:tcPr>
          <w:p w14:paraId="4406CFEC">
            <w:pPr>
              <w:spacing w:line="400" w:lineRule="exact"/>
              <w:jc w:val="center"/>
              <w:rPr>
                <w:rFonts w:ascii="宋体" w:hAnsi="宋体" w:eastAsia="宋体" w:cs="宋体"/>
                <w:sz w:val="24"/>
              </w:rPr>
            </w:pPr>
            <w:r>
              <w:rPr>
                <w:rFonts w:hint="eastAsia" w:ascii="宋体" w:hAnsi="宋体" w:eastAsia="宋体" w:cs="宋体"/>
                <w:sz w:val="24"/>
              </w:rPr>
              <w:t>数据查询</w:t>
            </w:r>
          </w:p>
        </w:tc>
        <w:tc>
          <w:tcPr>
            <w:tcW w:w="6198" w:type="dxa"/>
            <w:tcBorders>
              <w:top w:val="single" w:color="auto" w:sz="4" w:space="0"/>
              <w:left w:val="single" w:color="auto" w:sz="4" w:space="0"/>
              <w:bottom w:val="single" w:color="auto" w:sz="4" w:space="0"/>
              <w:right w:val="single" w:color="auto" w:sz="4" w:space="0"/>
            </w:tcBorders>
            <w:vAlign w:val="center"/>
          </w:tcPr>
          <w:p w14:paraId="705A9FBB">
            <w:pPr>
              <w:spacing w:line="400" w:lineRule="exact"/>
              <w:jc w:val="left"/>
              <w:rPr>
                <w:rFonts w:ascii="宋体" w:hAnsi="宋体" w:eastAsia="宋体" w:cs="宋体"/>
                <w:sz w:val="24"/>
              </w:rPr>
            </w:pPr>
            <w:r>
              <w:rPr>
                <w:rFonts w:hint="eastAsia" w:ascii="宋体" w:hAnsi="宋体" w:eastAsia="宋体" w:cs="宋体"/>
                <w:sz w:val="24"/>
              </w:rPr>
              <w:t>实现进出</w:t>
            </w:r>
            <w:r>
              <w:rPr>
                <w:rFonts w:hint="eastAsia" w:ascii="宋体" w:hAnsi="宋体" w:cs="宋体"/>
                <w:sz w:val="24"/>
              </w:rPr>
              <w:t>监</w:t>
            </w:r>
            <w:r>
              <w:rPr>
                <w:rFonts w:hint="eastAsia" w:ascii="宋体" w:hAnsi="宋体" w:eastAsia="宋体" w:cs="宋体"/>
                <w:sz w:val="24"/>
              </w:rPr>
              <w:t>情况汇总数据查询统计，警务通手机端与PC平台可实现数据实时同步，支持人员清单查询、具清单查询、车辆清单查询、长期人员和短期人员查询。</w:t>
            </w:r>
          </w:p>
        </w:tc>
        <w:tc>
          <w:tcPr>
            <w:tcW w:w="932" w:type="dxa"/>
            <w:vMerge w:val="continue"/>
            <w:tcBorders>
              <w:left w:val="single" w:color="auto" w:sz="4" w:space="0"/>
              <w:right w:val="single" w:color="auto" w:sz="4" w:space="0"/>
            </w:tcBorders>
            <w:vAlign w:val="center"/>
          </w:tcPr>
          <w:p w14:paraId="7A227CB5">
            <w:pPr>
              <w:spacing w:line="400" w:lineRule="exact"/>
              <w:jc w:val="center"/>
            </w:pPr>
          </w:p>
        </w:tc>
      </w:tr>
      <w:tr w14:paraId="6751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7FC822C2">
            <w:pPr>
              <w:spacing w:line="400" w:lineRule="exact"/>
              <w:jc w:val="center"/>
              <w:rPr>
                <w:rFonts w:ascii="宋体" w:hAnsi="宋体" w:eastAsia="宋体" w:cs="宋体"/>
                <w:sz w:val="24"/>
              </w:rPr>
            </w:pPr>
            <w:r>
              <w:rPr>
                <w:rFonts w:hint="eastAsia" w:ascii="宋体" w:hAnsi="宋体" w:eastAsia="宋体" w:cs="宋体"/>
                <w:sz w:val="24"/>
              </w:rPr>
              <w:t>4</w:t>
            </w:r>
          </w:p>
        </w:tc>
        <w:tc>
          <w:tcPr>
            <w:tcW w:w="1219" w:type="dxa"/>
            <w:tcBorders>
              <w:top w:val="single" w:color="auto" w:sz="4" w:space="0"/>
              <w:left w:val="single" w:color="auto" w:sz="4" w:space="0"/>
              <w:bottom w:val="single" w:color="auto" w:sz="4" w:space="0"/>
              <w:right w:val="single" w:color="auto" w:sz="4" w:space="0"/>
            </w:tcBorders>
            <w:vAlign w:val="center"/>
          </w:tcPr>
          <w:p w14:paraId="7FC08BC0">
            <w:pPr>
              <w:spacing w:line="400" w:lineRule="exact"/>
              <w:jc w:val="center"/>
              <w:rPr>
                <w:rFonts w:ascii="宋体" w:hAnsi="宋体" w:eastAsia="宋体" w:cs="宋体"/>
                <w:sz w:val="24"/>
              </w:rPr>
            </w:pPr>
            <w:r>
              <w:rPr>
                <w:rFonts w:hint="eastAsia" w:ascii="宋体" w:hAnsi="宋体" w:eastAsia="宋体" w:cs="宋体"/>
                <w:sz w:val="24"/>
              </w:rPr>
              <w:t>零星外出核验</w:t>
            </w:r>
          </w:p>
        </w:tc>
        <w:tc>
          <w:tcPr>
            <w:tcW w:w="6198" w:type="dxa"/>
            <w:tcBorders>
              <w:top w:val="single" w:color="auto" w:sz="4" w:space="0"/>
              <w:left w:val="single" w:color="auto" w:sz="4" w:space="0"/>
              <w:bottom w:val="single" w:color="auto" w:sz="4" w:space="0"/>
              <w:right w:val="single" w:color="auto" w:sz="4" w:space="0"/>
            </w:tcBorders>
            <w:vAlign w:val="center"/>
          </w:tcPr>
          <w:p w14:paraId="10352791">
            <w:pPr>
              <w:spacing w:line="400" w:lineRule="exact"/>
              <w:jc w:val="left"/>
              <w:rPr>
                <w:rFonts w:ascii="宋体" w:hAnsi="宋体" w:eastAsia="宋体" w:cs="宋体"/>
                <w:sz w:val="24"/>
              </w:rPr>
            </w:pPr>
            <w:r>
              <w:rPr>
                <w:rFonts w:hint="eastAsia" w:ascii="宋体" w:hAnsi="宋体" w:eastAsia="宋体" w:cs="宋体"/>
                <w:sz w:val="24"/>
              </w:rPr>
              <w:t>针对</w:t>
            </w:r>
            <w:r>
              <w:rPr>
                <w:rFonts w:hint="eastAsia" w:ascii="宋体" w:hAnsi="宋体" w:cs="宋体"/>
                <w:sz w:val="24"/>
              </w:rPr>
              <w:t>服刑人员</w:t>
            </w:r>
            <w:r>
              <w:rPr>
                <w:rFonts w:hint="eastAsia" w:ascii="宋体" w:hAnsi="宋体" w:eastAsia="宋体" w:cs="宋体"/>
                <w:sz w:val="24"/>
              </w:rPr>
              <w:t>零星外出、外诊等实现人后申请和核验，支持警务通/手机端人脸识别核验，支持</w:t>
            </w:r>
            <w:r>
              <w:rPr>
                <w:rFonts w:hint="eastAsia" w:ascii="宋体" w:hAnsi="宋体" w:cs="宋体"/>
                <w:sz w:val="24"/>
              </w:rPr>
              <w:t>民警</w:t>
            </w:r>
            <w:r>
              <w:rPr>
                <w:rFonts w:hint="eastAsia" w:ascii="宋体" w:hAnsi="宋体" w:eastAsia="宋体" w:cs="宋体"/>
                <w:sz w:val="24"/>
              </w:rPr>
              <w:t>1对多绑定，</w:t>
            </w:r>
            <w:r>
              <w:rPr>
                <w:rFonts w:hint="eastAsia" w:ascii="宋体" w:hAnsi="宋体" w:cs="宋体"/>
                <w:sz w:val="24"/>
              </w:rPr>
              <w:t>服刑人员</w:t>
            </w:r>
            <w:r>
              <w:rPr>
                <w:rFonts w:hint="eastAsia" w:ascii="宋体" w:hAnsi="宋体" w:eastAsia="宋体" w:cs="宋体"/>
                <w:sz w:val="24"/>
              </w:rPr>
              <w:t>回</w:t>
            </w:r>
            <w:r>
              <w:rPr>
                <w:rFonts w:hint="eastAsia" w:ascii="宋体" w:hAnsi="宋体" w:cs="宋体"/>
                <w:sz w:val="24"/>
              </w:rPr>
              <w:t>监</w:t>
            </w:r>
            <w:r>
              <w:rPr>
                <w:rFonts w:hint="eastAsia" w:ascii="宋体" w:hAnsi="宋体" w:eastAsia="宋体" w:cs="宋体"/>
                <w:sz w:val="24"/>
              </w:rPr>
              <w:t>核验，照片及审批单上传。</w:t>
            </w:r>
          </w:p>
        </w:tc>
        <w:tc>
          <w:tcPr>
            <w:tcW w:w="932" w:type="dxa"/>
            <w:vMerge w:val="continue"/>
            <w:tcBorders>
              <w:left w:val="single" w:color="auto" w:sz="4" w:space="0"/>
              <w:bottom w:val="single" w:color="auto" w:sz="4" w:space="0"/>
              <w:right w:val="single" w:color="auto" w:sz="4" w:space="0"/>
            </w:tcBorders>
            <w:vAlign w:val="center"/>
          </w:tcPr>
          <w:p w14:paraId="3FFA794C">
            <w:pPr>
              <w:spacing w:line="400" w:lineRule="exact"/>
              <w:jc w:val="center"/>
            </w:pPr>
          </w:p>
        </w:tc>
      </w:tr>
      <w:tr w14:paraId="02E2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1951DDEA">
            <w:pPr>
              <w:spacing w:line="400" w:lineRule="exact"/>
              <w:jc w:val="center"/>
              <w:rPr>
                <w:rFonts w:ascii="宋体" w:hAnsi="宋体" w:eastAsia="宋体" w:cs="宋体"/>
                <w:sz w:val="24"/>
              </w:rPr>
            </w:pPr>
            <w:r>
              <w:rPr>
                <w:rFonts w:hint="eastAsia" w:ascii="宋体" w:hAnsi="宋体" w:cs="宋体"/>
                <w:sz w:val="24"/>
              </w:rPr>
              <w:t>5</w:t>
            </w:r>
          </w:p>
        </w:tc>
        <w:tc>
          <w:tcPr>
            <w:tcW w:w="1219" w:type="dxa"/>
            <w:tcBorders>
              <w:top w:val="single" w:color="auto" w:sz="4" w:space="0"/>
              <w:left w:val="single" w:color="auto" w:sz="4" w:space="0"/>
              <w:bottom w:val="single" w:color="auto" w:sz="4" w:space="0"/>
              <w:right w:val="single" w:color="auto" w:sz="4" w:space="0"/>
            </w:tcBorders>
            <w:vAlign w:val="center"/>
          </w:tcPr>
          <w:p w14:paraId="4B2681EF">
            <w:pPr>
              <w:spacing w:line="400" w:lineRule="exact"/>
              <w:jc w:val="center"/>
              <w:rPr>
                <w:rFonts w:ascii="宋体" w:hAnsi="宋体" w:eastAsia="宋体" w:cs="宋体"/>
                <w:sz w:val="24"/>
              </w:rPr>
            </w:pPr>
            <w:r>
              <w:rPr>
                <w:rFonts w:hint="eastAsia" w:ascii="宋体" w:hAnsi="宋体" w:cs="宋体"/>
                <w:sz w:val="24"/>
              </w:rPr>
              <w:t>APP升级</w:t>
            </w:r>
          </w:p>
        </w:tc>
        <w:tc>
          <w:tcPr>
            <w:tcW w:w="6198" w:type="dxa"/>
            <w:tcBorders>
              <w:top w:val="single" w:color="auto" w:sz="4" w:space="0"/>
              <w:left w:val="single" w:color="auto" w:sz="4" w:space="0"/>
              <w:bottom w:val="single" w:color="auto" w:sz="4" w:space="0"/>
              <w:right w:val="single" w:color="auto" w:sz="4" w:space="0"/>
            </w:tcBorders>
            <w:vAlign w:val="center"/>
          </w:tcPr>
          <w:p w14:paraId="3A0BF6ED">
            <w:pPr>
              <w:spacing w:line="400" w:lineRule="exact"/>
              <w:jc w:val="left"/>
              <w:rPr>
                <w:rFonts w:ascii="宋体" w:hAnsi="宋体" w:eastAsia="宋体" w:cs="宋体"/>
                <w:sz w:val="24"/>
              </w:rPr>
            </w:pPr>
            <w:r>
              <w:rPr>
                <w:rFonts w:hint="eastAsia" w:ascii="宋体" w:hAnsi="宋体" w:cs="宋体"/>
                <w:sz w:val="24"/>
                <w:lang w:val="en-US" w:eastAsia="zh-CN"/>
              </w:rPr>
              <w:t>维保期</w:t>
            </w:r>
            <w:r>
              <w:rPr>
                <w:rFonts w:hint="eastAsia" w:ascii="宋体" w:hAnsi="宋体" w:cs="宋体"/>
                <w:sz w:val="24"/>
              </w:rPr>
              <w:t>内，若因警务通手机终端系统升级调整，应提供APP升级调整</w:t>
            </w:r>
            <w:r>
              <w:rPr>
                <w:rFonts w:hint="eastAsia" w:ascii="宋体" w:hAnsi="宋体" w:cs="宋体"/>
                <w:sz w:val="24"/>
                <w:lang w:eastAsia="zh-CN"/>
              </w:rPr>
              <w:t>，</w:t>
            </w:r>
            <w:r>
              <w:rPr>
                <w:rFonts w:hint="eastAsia" w:ascii="宋体" w:hAnsi="宋体" w:cs="宋体"/>
                <w:sz w:val="24"/>
                <w:lang w:val="en-US" w:eastAsia="zh-CN"/>
              </w:rPr>
              <w:t>费用包含在投标报价中</w:t>
            </w:r>
            <w:r>
              <w:rPr>
                <w:rFonts w:hint="eastAsia" w:ascii="宋体" w:hAnsi="宋体" w:cs="宋体"/>
                <w:sz w:val="24"/>
              </w:rPr>
              <w:t>。</w:t>
            </w:r>
          </w:p>
        </w:tc>
        <w:tc>
          <w:tcPr>
            <w:tcW w:w="932" w:type="dxa"/>
            <w:tcBorders>
              <w:left w:val="single" w:color="auto" w:sz="4" w:space="0"/>
              <w:bottom w:val="single" w:color="auto" w:sz="4" w:space="0"/>
              <w:right w:val="single" w:color="auto" w:sz="4" w:space="0"/>
            </w:tcBorders>
            <w:vAlign w:val="center"/>
          </w:tcPr>
          <w:p w14:paraId="39C3DDBF">
            <w:pPr>
              <w:spacing w:line="400" w:lineRule="exact"/>
              <w:jc w:val="center"/>
            </w:pPr>
          </w:p>
        </w:tc>
      </w:tr>
      <w:tr w14:paraId="73EB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9" w:type="dxa"/>
            <w:gridSpan w:val="3"/>
            <w:tcBorders>
              <w:top w:val="single" w:color="auto" w:sz="4" w:space="0"/>
              <w:left w:val="single" w:color="auto" w:sz="4" w:space="0"/>
              <w:bottom w:val="single" w:color="auto" w:sz="4" w:space="0"/>
              <w:right w:val="single" w:color="auto" w:sz="4" w:space="0"/>
            </w:tcBorders>
            <w:vAlign w:val="center"/>
          </w:tcPr>
          <w:p w14:paraId="5F253BE9">
            <w:pPr>
              <w:spacing w:line="400" w:lineRule="exact"/>
              <w:jc w:val="left"/>
            </w:pPr>
            <w:r>
              <w:rPr>
                <w:rFonts w:hint="eastAsia" w:ascii="宋体" w:hAnsi="宋体" w:eastAsia="宋体" w:cs="宋体"/>
                <w:sz w:val="24"/>
              </w:rPr>
              <w:t>6.数据对接</w:t>
            </w:r>
          </w:p>
        </w:tc>
        <w:tc>
          <w:tcPr>
            <w:tcW w:w="932" w:type="dxa"/>
            <w:vMerge w:val="restart"/>
            <w:tcBorders>
              <w:top w:val="single" w:color="auto" w:sz="4" w:space="0"/>
              <w:left w:val="single" w:color="auto" w:sz="4" w:space="0"/>
              <w:right w:val="single" w:color="auto" w:sz="4" w:space="0"/>
            </w:tcBorders>
            <w:vAlign w:val="center"/>
          </w:tcPr>
          <w:p w14:paraId="0CA9DB1C">
            <w:pPr>
              <w:spacing w:line="400" w:lineRule="exact"/>
              <w:jc w:val="center"/>
              <w:rPr>
                <w:rFonts w:eastAsia="宋体"/>
              </w:rPr>
            </w:pPr>
            <w:r>
              <w:rPr>
                <w:rFonts w:hint="eastAsia"/>
              </w:rPr>
              <w:t>1批</w:t>
            </w:r>
          </w:p>
        </w:tc>
      </w:tr>
      <w:tr w14:paraId="0640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vAlign w:val="center"/>
          </w:tcPr>
          <w:p w14:paraId="3996592B">
            <w:pPr>
              <w:spacing w:line="400" w:lineRule="exact"/>
              <w:jc w:val="center"/>
            </w:pPr>
            <w:r>
              <w:rPr>
                <w:rFonts w:hint="eastAsia" w:ascii="宋体" w:hAnsi="宋体" w:eastAsia="宋体" w:cs="宋体"/>
                <w:sz w:val="24"/>
              </w:rPr>
              <w:t>1</w:t>
            </w:r>
          </w:p>
        </w:tc>
        <w:tc>
          <w:tcPr>
            <w:tcW w:w="1219" w:type="dxa"/>
            <w:tcBorders>
              <w:top w:val="single" w:color="auto" w:sz="4" w:space="0"/>
              <w:left w:val="single" w:color="auto" w:sz="4" w:space="0"/>
              <w:bottom w:val="single" w:color="auto" w:sz="4" w:space="0"/>
              <w:right w:val="single" w:color="auto" w:sz="4" w:space="0"/>
            </w:tcBorders>
            <w:vAlign w:val="center"/>
          </w:tcPr>
          <w:p w14:paraId="7D66AE40">
            <w:pPr>
              <w:spacing w:line="400" w:lineRule="exact"/>
              <w:jc w:val="center"/>
            </w:pPr>
            <w:r>
              <w:rPr>
                <w:rFonts w:hint="eastAsia" w:ascii="宋体" w:hAnsi="宋体" w:eastAsia="宋体" w:cs="宋体"/>
                <w:sz w:val="24"/>
              </w:rPr>
              <w:t>数据对接</w:t>
            </w:r>
          </w:p>
        </w:tc>
        <w:tc>
          <w:tcPr>
            <w:tcW w:w="6198" w:type="dxa"/>
            <w:tcBorders>
              <w:top w:val="single" w:color="auto" w:sz="4" w:space="0"/>
              <w:left w:val="single" w:color="auto" w:sz="4" w:space="0"/>
              <w:bottom w:val="single" w:color="auto" w:sz="4" w:space="0"/>
              <w:right w:val="single" w:color="auto" w:sz="4" w:space="0"/>
            </w:tcBorders>
            <w:vAlign w:val="center"/>
          </w:tcPr>
          <w:p w14:paraId="65410DDE">
            <w:pPr>
              <w:spacing w:line="400" w:lineRule="exact"/>
              <w:jc w:val="left"/>
              <w:rPr>
                <w:rFonts w:ascii="宋体" w:hAnsi="宋体" w:cs="宋体"/>
                <w:sz w:val="24"/>
              </w:rPr>
            </w:pPr>
            <w:r>
              <w:rPr>
                <w:rFonts w:hint="eastAsia" w:ascii="宋体" w:hAnsi="宋体" w:cs="宋体"/>
                <w:sz w:val="24"/>
              </w:rPr>
              <w:t>1.</w:t>
            </w:r>
            <w:r>
              <w:rPr>
                <w:rFonts w:hint="eastAsia" w:ascii="宋体" w:hAnsi="宋体" w:eastAsia="宋体" w:cs="宋体"/>
                <w:sz w:val="24"/>
              </w:rPr>
              <w:t>对接现有民警</w:t>
            </w:r>
            <w:r>
              <w:rPr>
                <w:rFonts w:hint="eastAsia" w:ascii="宋体" w:hAnsi="宋体" w:cs="宋体"/>
                <w:sz w:val="24"/>
              </w:rPr>
              <w:t>信息</w:t>
            </w:r>
            <w:r>
              <w:rPr>
                <w:rFonts w:hint="eastAsia" w:ascii="宋体" w:hAnsi="宋体" w:eastAsia="宋体" w:cs="宋体"/>
                <w:sz w:val="24"/>
              </w:rPr>
              <w:t>系统，获取系统民警信息和民警组织结构，包括名字、警号、所属科室、照片等，实现民警基础数据定时同步确保数据一致，对接</w:t>
            </w:r>
            <w:r>
              <w:rPr>
                <w:rFonts w:hint="eastAsia" w:ascii="宋体" w:hAnsi="宋体" w:eastAsia="宋体" w:cs="宋体"/>
                <w:sz w:val="24"/>
                <w:lang w:eastAsia="zh-CN"/>
              </w:rPr>
              <w:t>福建省监狱管理局</w:t>
            </w:r>
            <w:r>
              <w:rPr>
                <w:rFonts w:hint="eastAsia" w:ascii="宋体" w:hAnsi="宋体" w:eastAsia="宋体" w:cs="宋体"/>
                <w:sz w:val="24"/>
              </w:rPr>
              <w:t>刑罚执行系统，获取被监管人员信息和组织结构包括姓名、编号、所属监区、所属分监区、照片等。</w:t>
            </w:r>
            <w:r>
              <w:rPr>
                <w:rFonts w:hint="eastAsia" w:ascii="宋体" w:hAnsi="宋体" w:cs="宋体"/>
                <w:sz w:val="24"/>
              </w:rPr>
              <w:t>需提供数据包含但不限于外协人员统计数据、工具统计数据、车辆统计数据等数据接口至指挥中心，实现数据同步。</w:t>
            </w:r>
          </w:p>
          <w:p w14:paraId="7D00B847">
            <w:pPr>
              <w:spacing w:line="400" w:lineRule="exact"/>
              <w:jc w:val="left"/>
              <w:rPr>
                <w:rFonts w:eastAsia="宋体"/>
              </w:rPr>
            </w:pPr>
            <w:r>
              <w:rPr>
                <w:rFonts w:hint="eastAsia" w:ascii="宋体" w:hAnsi="宋体" w:cs="宋体"/>
                <w:sz w:val="24"/>
              </w:rPr>
              <w:t>2.平台软件应包含服务后端承载硬件，配置：</w:t>
            </w:r>
            <w:r>
              <w:rPr>
                <w:rStyle w:val="22"/>
                <w:rFonts w:hint="eastAsia"/>
                <w:sz w:val="24"/>
                <w:szCs w:val="24"/>
              </w:rPr>
              <w:t>≥6核CPU，≥16G内存，≥2T硬盘。</w:t>
            </w:r>
          </w:p>
        </w:tc>
        <w:tc>
          <w:tcPr>
            <w:tcW w:w="932" w:type="dxa"/>
            <w:vMerge w:val="continue"/>
            <w:tcBorders>
              <w:left w:val="single" w:color="auto" w:sz="4" w:space="0"/>
              <w:bottom w:val="single" w:color="auto" w:sz="4" w:space="0"/>
              <w:right w:val="single" w:color="auto" w:sz="4" w:space="0"/>
            </w:tcBorders>
            <w:vAlign w:val="center"/>
          </w:tcPr>
          <w:p w14:paraId="288365D6">
            <w:pPr>
              <w:spacing w:line="400" w:lineRule="exact"/>
              <w:jc w:val="center"/>
            </w:pPr>
          </w:p>
        </w:tc>
      </w:tr>
    </w:tbl>
    <w:p w14:paraId="444A8F1A">
      <w:pPr>
        <w:spacing w:line="360" w:lineRule="auto"/>
        <w:rPr>
          <w:rFonts w:ascii="宋体" w:hAnsi="宋体" w:eastAsia="宋体" w:cs="宋体"/>
          <w:b/>
          <w:bCs/>
          <w:sz w:val="24"/>
        </w:rPr>
      </w:pPr>
      <w:r>
        <w:rPr>
          <w:rFonts w:cs="宋体"/>
          <w:color w:val="333333"/>
          <w:shd w:val="clear" w:color="auto" w:fill="FFFFFF"/>
        </w:rPr>
        <w:t>★</w:t>
      </w:r>
      <w:r>
        <w:rPr>
          <w:rFonts w:hint="eastAsia" w:ascii="宋体" w:hAnsi="宋体" w:eastAsia="宋体" w:cs="宋体"/>
          <w:b/>
          <w:bCs/>
          <w:sz w:val="24"/>
        </w:rPr>
        <w:t>（</w:t>
      </w:r>
      <w:r>
        <w:rPr>
          <w:rFonts w:hint="eastAsia" w:ascii="宋体" w:hAnsi="宋体" w:eastAsia="宋体" w:cs="宋体"/>
          <w:b/>
          <w:bCs/>
          <w:sz w:val="24"/>
          <w:lang w:val="en-US" w:eastAsia="zh-CN"/>
        </w:rPr>
        <w:t>五</w:t>
      </w:r>
      <w:r>
        <w:rPr>
          <w:rFonts w:hint="eastAsia" w:ascii="宋体" w:hAnsi="宋体" w:eastAsia="宋体" w:cs="宋体"/>
          <w:b/>
          <w:bCs/>
          <w:sz w:val="24"/>
        </w:rPr>
        <w:t>）硬件</w:t>
      </w:r>
      <w:r>
        <w:rPr>
          <w:rFonts w:hint="eastAsia" w:ascii="宋体" w:hAnsi="宋体" w:cs="宋体"/>
          <w:b/>
          <w:bCs/>
          <w:sz w:val="24"/>
        </w:rPr>
        <w:t>参数</w:t>
      </w:r>
      <w:r>
        <w:rPr>
          <w:rFonts w:hint="eastAsia" w:ascii="宋体" w:hAnsi="宋体" w:eastAsia="宋体" w:cs="宋体"/>
          <w:b/>
          <w:bCs/>
          <w:sz w:val="24"/>
        </w:rPr>
        <w:t>要求</w:t>
      </w:r>
      <w:r>
        <w:rPr>
          <w:rFonts w:hint="eastAsia" w:ascii="宋体" w:hAnsi="宋体" w:cs="宋体"/>
          <w:b/>
          <w:bCs/>
          <w:sz w:val="24"/>
        </w:rPr>
        <w:t>（所有硬件安装方式根据现场情况确定）</w:t>
      </w:r>
    </w:p>
    <w:tbl>
      <w:tblPr>
        <w:tblStyle w:val="17"/>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33"/>
        <w:gridCol w:w="6410"/>
        <w:gridCol w:w="783"/>
      </w:tblGrid>
      <w:tr w14:paraId="503A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Borders>
              <w:top w:val="single" w:color="auto" w:sz="4" w:space="0"/>
              <w:left w:val="single" w:color="auto" w:sz="4" w:space="0"/>
              <w:bottom w:val="single" w:color="auto" w:sz="4" w:space="0"/>
              <w:right w:val="single" w:color="auto" w:sz="4" w:space="0"/>
            </w:tcBorders>
            <w:vAlign w:val="center"/>
          </w:tcPr>
          <w:p w14:paraId="71435C61">
            <w:pPr>
              <w:spacing w:line="400" w:lineRule="exact"/>
              <w:jc w:val="center"/>
            </w:pPr>
            <w:r>
              <w:rPr>
                <w:rFonts w:hint="eastAsia" w:ascii="宋体" w:hAnsi="宋体" w:eastAsia="宋体" w:cs="宋体"/>
                <w:b/>
                <w:bCs/>
                <w:sz w:val="24"/>
              </w:rPr>
              <w:t>序号</w:t>
            </w:r>
          </w:p>
        </w:tc>
        <w:tc>
          <w:tcPr>
            <w:tcW w:w="1233" w:type="dxa"/>
            <w:tcBorders>
              <w:top w:val="single" w:color="auto" w:sz="4" w:space="0"/>
              <w:left w:val="single" w:color="auto" w:sz="4" w:space="0"/>
              <w:bottom w:val="single" w:color="auto" w:sz="4" w:space="0"/>
              <w:right w:val="single" w:color="auto" w:sz="4" w:space="0"/>
            </w:tcBorders>
            <w:vAlign w:val="center"/>
          </w:tcPr>
          <w:p w14:paraId="2CD24025">
            <w:pPr>
              <w:spacing w:line="400" w:lineRule="exact"/>
              <w:jc w:val="center"/>
            </w:pPr>
            <w:r>
              <w:rPr>
                <w:rFonts w:hint="eastAsia" w:ascii="宋体" w:hAnsi="宋体" w:eastAsia="宋体" w:cs="宋体"/>
                <w:b/>
                <w:bCs/>
                <w:sz w:val="24"/>
              </w:rPr>
              <w:t>货物名称</w:t>
            </w:r>
          </w:p>
        </w:tc>
        <w:tc>
          <w:tcPr>
            <w:tcW w:w="6410" w:type="dxa"/>
            <w:tcBorders>
              <w:top w:val="single" w:color="auto" w:sz="4" w:space="0"/>
              <w:left w:val="single" w:color="auto" w:sz="4" w:space="0"/>
              <w:bottom w:val="single" w:color="auto" w:sz="4" w:space="0"/>
              <w:right w:val="single" w:color="auto" w:sz="4" w:space="0"/>
            </w:tcBorders>
            <w:vAlign w:val="center"/>
          </w:tcPr>
          <w:p w14:paraId="2CF4E598">
            <w:pPr>
              <w:spacing w:line="400" w:lineRule="exact"/>
            </w:pPr>
            <w:r>
              <w:rPr>
                <w:rFonts w:hint="eastAsia" w:ascii="宋体" w:hAnsi="宋体" w:eastAsia="宋体" w:cs="宋体"/>
                <w:b/>
                <w:bCs/>
                <w:sz w:val="24"/>
              </w:rPr>
              <w:t>参数规格</w:t>
            </w:r>
          </w:p>
        </w:tc>
        <w:tc>
          <w:tcPr>
            <w:tcW w:w="783" w:type="dxa"/>
            <w:tcBorders>
              <w:top w:val="single" w:color="auto" w:sz="4" w:space="0"/>
              <w:left w:val="single" w:color="auto" w:sz="4" w:space="0"/>
              <w:bottom w:val="single" w:color="auto" w:sz="4" w:space="0"/>
              <w:right w:val="single" w:color="auto" w:sz="4" w:space="0"/>
            </w:tcBorders>
            <w:vAlign w:val="center"/>
          </w:tcPr>
          <w:p w14:paraId="3463E2D3">
            <w:pPr>
              <w:spacing w:line="400" w:lineRule="exact"/>
              <w:jc w:val="center"/>
            </w:pPr>
            <w:r>
              <w:rPr>
                <w:rFonts w:hint="eastAsia" w:ascii="宋体" w:hAnsi="宋体" w:eastAsia="宋体" w:cs="宋体"/>
                <w:b/>
                <w:bCs/>
                <w:sz w:val="24"/>
              </w:rPr>
              <w:t>数量</w:t>
            </w:r>
          </w:p>
        </w:tc>
      </w:tr>
      <w:tr w14:paraId="54E4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Borders>
              <w:top w:val="single" w:color="auto" w:sz="4" w:space="0"/>
              <w:left w:val="single" w:color="auto" w:sz="4" w:space="0"/>
              <w:bottom w:val="single" w:color="auto" w:sz="4" w:space="0"/>
              <w:right w:val="single" w:color="auto" w:sz="4" w:space="0"/>
            </w:tcBorders>
            <w:vAlign w:val="center"/>
          </w:tcPr>
          <w:p w14:paraId="5A03BD44">
            <w:pPr>
              <w:spacing w:line="400" w:lineRule="exact"/>
              <w:jc w:val="center"/>
            </w:pPr>
            <w:r>
              <w:rPr>
                <w:rFonts w:hint="eastAsia" w:ascii="宋体" w:hAnsi="宋体" w:eastAsia="宋体" w:cs="宋体"/>
                <w:sz w:val="24"/>
              </w:rPr>
              <w:t>1</w:t>
            </w:r>
          </w:p>
        </w:tc>
        <w:tc>
          <w:tcPr>
            <w:tcW w:w="1233" w:type="dxa"/>
            <w:tcBorders>
              <w:top w:val="single" w:color="auto" w:sz="4" w:space="0"/>
              <w:left w:val="single" w:color="auto" w:sz="4" w:space="0"/>
              <w:bottom w:val="single" w:color="auto" w:sz="4" w:space="0"/>
              <w:right w:val="single" w:color="auto" w:sz="4" w:space="0"/>
            </w:tcBorders>
            <w:vAlign w:val="center"/>
          </w:tcPr>
          <w:p w14:paraId="0DFCA61C">
            <w:pPr>
              <w:widowControl/>
              <w:jc w:val="center"/>
              <w:textAlignment w:val="center"/>
            </w:pPr>
            <w:r>
              <w:rPr>
                <w:rFonts w:hint="eastAsia" w:ascii="宋体" w:hAnsi="宋体" w:eastAsia="宋体" w:cs="宋体"/>
                <w:color w:val="000000"/>
                <w:kern w:val="0"/>
                <w:sz w:val="24"/>
              </w:rPr>
              <w:t>外协自助终端</w:t>
            </w:r>
          </w:p>
        </w:tc>
        <w:tc>
          <w:tcPr>
            <w:tcW w:w="6410" w:type="dxa"/>
            <w:tcBorders>
              <w:top w:val="single" w:color="auto" w:sz="4" w:space="0"/>
              <w:left w:val="single" w:color="auto" w:sz="4" w:space="0"/>
              <w:bottom w:val="single" w:color="auto" w:sz="4" w:space="0"/>
              <w:right w:val="single" w:color="auto" w:sz="4" w:space="0"/>
            </w:tcBorders>
            <w:vAlign w:val="center"/>
          </w:tcPr>
          <w:p w14:paraId="74821F20">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sz w:val="24"/>
                <w:lang w:val="en-US" w:eastAsia="zh-CN"/>
              </w:rPr>
              <w:t>1、</w:t>
            </w:r>
            <w:r>
              <w:rPr>
                <w:rFonts w:hint="eastAsia" w:ascii="宋体" w:hAnsi="宋体" w:cs="宋体"/>
                <w:sz w:val="24"/>
              </w:rPr>
              <w:t>CPU：国产CPU，四核，主频≥2.0GHz</w:t>
            </w:r>
            <w:r>
              <w:rPr>
                <w:rFonts w:hint="eastAsia" w:ascii="宋体" w:hAnsi="宋体" w:cs="宋体"/>
                <w:sz w:val="24"/>
                <w:lang w:eastAsia="zh-CN"/>
              </w:rPr>
              <w:t>；</w:t>
            </w:r>
          </w:p>
          <w:p w14:paraId="4E9A97A7">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sz w:val="24"/>
                <w:lang w:val="en-US" w:eastAsia="zh-CN"/>
              </w:rPr>
              <w:t>2、</w:t>
            </w:r>
            <w:r>
              <w:rPr>
                <w:rFonts w:hint="eastAsia" w:ascii="宋体" w:hAnsi="宋体" w:cs="宋体"/>
                <w:sz w:val="24"/>
              </w:rPr>
              <w:t>内存：≥4GB</w:t>
            </w:r>
            <w:r>
              <w:rPr>
                <w:rFonts w:hint="eastAsia" w:ascii="宋体" w:hAnsi="宋体" w:cs="宋体"/>
                <w:sz w:val="24"/>
                <w:lang w:eastAsia="zh-CN"/>
              </w:rPr>
              <w:t>；</w:t>
            </w:r>
          </w:p>
          <w:p w14:paraId="7C59E067">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sz w:val="24"/>
                <w:lang w:val="en-US" w:eastAsia="zh-CN"/>
              </w:rPr>
              <w:t>3、</w:t>
            </w:r>
            <w:r>
              <w:rPr>
                <w:rFonts w:hint="eastAsia" w:ascii="宋体" w:hAnsi="宋体" w:cs="宋体"/>
                <w:sz w:val="24"/>
              </w:rPr>
              <w:t>存储：≥128GB</w:t>
            </w:r>
            <w:r>
              <w:rPr>
                <w:rFonts w:hint="eastAsia" w:ascii="宋体" w:hAnsi="宋体" w:cs="宋体"/>
                <w:sz w:val="24"/>
                <w:lang w:eastAsia="zh-CN"/>
              </w:rPr>
              <w:t>；</w:t>
            </w:r>
          </w:p>
          <w:p w14:paraId="7EAD260D">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sz w:val="24"/>
                <w:lang w:val="en-US" w:eastAsia="zh-CN"/>
              </w:rPr>
              <w:t>4、</w:t>
            </w:r>
            <w:r>
              <w:rPr>
                <w:rFonts w:hint="eastAsia" w:ascii="宋体" w:hAnsi="宋体" w:cs="宋体"/>
                <w:sz w:val="24"/>
              </w:rPr>
              <w:t>通讯接口：</w:t>
            </w:r>
            <w:r>
              <w:rPr>
                <w:rFonts w:hint="eastAsia" w:ascii="宋体" w:hAnsi="宋体" w:cs="宋体"/>
                <w:sz w:val="24"/>
                <w:lang w:val="en-US" w:eastAsia="zh-CN"/>
              </w:rPr>
              <w:t>1</w:t>
            </w:r>
            <w:r>
              <w:rPr>
                <w:rFonts w:hint="eastAsia" w:ascii="宋体" w:hAnsi="宋体" w:cs="宋体"/>
                <w:sz w:val="24"/>
              </w:rPr>
              <w:t>路千兆以太网，1个USB3.0接口，2个USB2.0接口，1个HDMI</w:t>
            </w:r>
            <w:r>
              <w:rPr>
                <w:rFonts w:hint="eastAsia" w:ascii="宋体" w:hAnsi="宋体" w:cs="宋体"/>
                <w:sz w:val="24"/>
                <w:lang w:val="en-US" w:eastAsia="zh-CN"/>
              </w:rPr>
              <w:t xml:space="preserve"> </w:t>
            </w:r>
            <w:r>
              <w:rPr>
                <w:rFonts w:hint="eastAsia" w:ascii="宋体" w:hAnsi="宋体" w:cs="宋体"/>
                <w:sz w:val="24"/>
              </w:rPr>
              <w:t>2.0输出接口，1路音频输入/输出口，1个</w:t>
            </w:r>
            <w:r>
              <w:rPr>
                <w:rFonts w:hint="eastAsia" w:ascii="宋体" w:hAnsi="宋体" w:cs="宋体"/>
                <w:sz w:val="24"/>
                <w:lang w:val="en-US" w:eastAsia="zh-CN"/>
              </w:rPr>
              <w:t>存储扩展</w:t>
            </w:r>
            <w:r>
              <w:rPr>
                <w:rFonts w:hint="eastAsia" w:ascii="宋体" w:hAnsi="宋体" w:cs="宋体"/>
                <w:sz w:val="24"/>
              </w:rPr>
              <w:t>卡槽</w:t>
            </w: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rPr>
              <w:t>音频输出：内置全频喇叭</w:t>
            </w:r>
            <w:r>
              <w:rPr>
                <w:rFonts w:hint="eastAsia" w:ascii="宋体" w:hAnsi="宋体" w:cs="宋体"/>
                <w:sz w:val="24"/>
                <w:lang w:eastAsia="zh-CN"/>
              </w:rPr>
              <w:t>；</w:t>
            </w:r>
            <w:r>
              <w:rPr>
                <w:rFonts w:hint="eastAsia" w:ascii="宋体" w:hAnsi="宋体" w:cs="宋体"/>
                <w:sz w:val="24"/>
              </w:rPr>
              <w:t>音频输入：内置麦克风</w:t>
            </w:r>
            <w:r>
              <w:rPr>
                <w:rFonts w:hint="eastAsia" w:ascii="宋体" w:hAnsi="宋体" w:cs="宋体"/>
                <w:sz w:val="24"/>
                <w:lang w:eastAsia="zh-CN"/>
              </w:rPr>
              <w:t>；</w:t>
            </w:r>
          </w:p>
          <w:p w14:paraId="130D8514">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sz w:val="24"/>
                <w:lang w:val="en-US" w:eastAsia="zh-CN"/>
              </w:rPr>
              <w:t>6、</w:t>
            </w:r>
            <w:r>
              <w:rPr>
                <w:rFonts w:hint="eastAsia" w:ascii="宋体" w:hAnsi="宋体" w:cs="宋体"/>
                <w:sz w:val="24"/>
              </w:rPr>
              <w:t>内置摄像头：≥</w:t>
            </w:r>
            <w:r>
              <w:rPr>
                <w:rFonts w:hint="eastAsia" w:ascii="宋体" w:hAnsi="宋体" w:cs="宋体"/>
                <w:sz w:val="24"/>
                <w:lang w:val="en-US" w:eastAsia="zh-CN"/>
              </w:rPr>
              <w:t>5</w:t>
            </w:r>
            <w:r>
              <w:rPr>
                <w:rFonts w:hint="eastAsia" w:ascii="宋体" w:hAnsi="宋体" w:cs="宋体"/>
                <w:sz w:val="24"/>
              </w:rPr>
              <w:t>00W像素高清</w:t>
            </w:r>
            <w:r>
              <w:rPr>
                <w:rFonts w:hint="eastAsia" w:ascii="宋体" w:hAnsi="宋体" w:cs="宋体"/>
                <w:sz w:val="24"/>
                <w:lang w:eastAsia="zh-CN"/>
              </w:rPr>
              <w:t>（</w:t>
            </w:r>
            <w:r>
              <w:rPr>
                <w:rFonts w:hint="eastAsia" w:ascii="宋体" w:hAnsi="宋体" w:cs="宋体"/>
                <w:sz w:val="24"/>
              </w:rPr>
              <w:t>1920x1080</w:t>
            </w:r>
            <w:r>
              <w:rPr>
                <w:rFonts w:hint="eastAsia" w:ascii="宋体" w:hAnsi="宋体" w:cs="宋体"/>
                <w:sz w:val="24"/>
                <w:lang w:eastAsia="zh-CN"/>
              </w:rPr>
              <w:t>）</w:t>
            </w:r>
            <w:r>
              <w:rPr>
                <w:rFonts w:hint="eastAsia" w:ascii="宋体" w:hAnsi="宋体" w:cs="宋体"/>
                <w:sz w:val="24"/>
              </w:rPr>
              <w:t>宽动态宽视场角摄像头，带红外补光灯</w:t>
            </w:r>
            <w:r>
              <w:rPr>
                <w:rFonts w:hint="eastAsia" w:ascii="宋体" w:hAnsi="宋体" w:cs="宋体"/>
                <w:sz w:val="24"/>
                <w:lang w:eastAsia="zh-CN"/>
              </w:rPr>
              <w:t>；</w:t>
            </w:r>
          </w:p>
          <w:p w14:paraId="58567CF0">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sz w:val="24"/>
                <w:lang w:val="en-US" w:eastAsia="zh-CN"/>
              </w:rPr>
              <w:t>7、</w:t>
            </w:r>
            <w:r>
              <w:rPr>
                <w:rFonts w:hint="eastAsia" w:ascii="宋体" w:hAnsi="宋体" w:cs="宋体"/>
                <w:sz w:val="24"/>
              </w:rPr>
              <w:t>显示屏幕：≥</w:t>
            </w:r>
            <w:r>
              <w:rPr>
                <w:rFonts w:hint="eastAsia" w:ascii="宋体" w:hAnsi="宋体" w:cs="宋体"/>
                <w:sz w:val="24"/>
                <w:lang w:val="en-US" w:eastAsia="zh-CN"/>
              </w:rPr>
              <w:t>32</w:t>
            </w:r>
            <w:r>
              <w:rPr>
                <w:rFonts w:hint="eastAsia" w:ascii="宋体" w:hAnsi="宋体" w:cs="宋体"/>
                <w:sz w:val="24"/>
                <w:lang w:eastAsia="zh-CN"/>
              </w:rPr>
              <w:t>英寸</w:t>
            </w:r>
            <w:r>
              <w:rPr>
                <w:rFonts w:hint="eastAsia" w:ascii="宋体" w:hAnsi="宋体" w:cs="宋体"/>
                <w:sz w:val="24"/>
              </w:rPr>
              <w:t>1080高清电容式多点触控</w:t>
            </w:r>
            <w:r>
              <w:rPr>
                <w:rFonts w:hint="eastAsia" w:ascii="宋体" w:hAnsi="宋体" w:cs="宋体"/>
                <w:sz w:val="24"/>
                <w:lang w:eastAsia="zh-CN"/>
              </w:rPr>
              <w:t>；</w:t>
            </w:r>
          </w:p>
          <w:p w14:paraId="1AEA1FCC">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sz w:val="24"/>
                <w:lang w:val="en-US" w:eastAsia="zh-CN"/>
              </w:rPr>
              <w:t>8、</w:t>
            </w:r>
            <w:r>
              <w:rPr>
                <w:rFonts w:hint="eastAsia" w:ascii="宋体" w:hAnsi="宋体" w:cs="宋体"/>
                <w:sz w:val="24"/>
              </w:rPr>
              <w:t>双屏异显：支持HDMI</w:t>
            </w:r>
            <w:r>
              <w:rPr>
                <w:rFonts w:hint="eastAsia" w:ascii="宋体" w:hAnsi="宋体" w:cs="宋体"/>
                <w:sz w:val="24"/>
                <w:lang w:val="en-US" w:eastAsia="zh-CN"/>
              </w:rPr>
              <w:t xml:space="preserve"> </w:t>
            </w:r>
            <w:r>
              <w:rPr>
                <w:rFonts w:hint="eastAsia" w:ascii="宋体" w:hAnsi="宋体" w:cs="宋体"/>
                <w:sz w:val="24"/>
              </w:rPr>
              <w:t>2.0异显</w:t>
            </w:r>
            <w:r>
              <w:rPr>
                <w:rFonts w:hint="eastAsia" w:ascii="宋体" w:hAnsi="宋体" w:cs="宋体"/>
                <w:sz w:val="24"/>
                <w:lang w:eastAsia="zh-CN"/>
              </w:rPr>
              <w:t>；</w:t>
            </w:r>
          </w:p>
          <w:p w14:paraId="498286E2">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sz w:val="24"/>
                <w:lang w:val="en-US" w:eastAsia="zh-CN"/>
              </w:rPr>
              <w:t>9、</w:t>
            </w:r>
            <w:r>
              <w:rPr>
                <w:rFonts w:hint="eastAsia" w:ascii="宋体" w:hAnsi="宋体" w:cs="宋体"/>
                <w:sz w:val="24"/>
              </w:rPr>
              <w:t>功能模块：</w:t>
            </w:r>
            <w:r>
              <w:rPr>
                <w:rFonts w:hint="eastAsia" w:ascii="宋体" w:hAnsi="宋体" w:cs="宋体" w:eastAsiaTheme="minorEastAsia"/>
                <w:sz w:val="24"/>
              </w:rPr>
              <w:t>支持二代居民身份证射频识别读卡；</w:t>
            </w:r>
            <w:r>
              <w:rPr>
                <w:rFonts w:hint="eastAsia" w:ascii="宋体" w:hAnsi="宋体" w:cs="宋体" w:eastAsiaTheme="minorEastAsia"/>
                <w:b w:val="0"/>
                <w:bCs w:val="0"/>
                <w:sz w:val="24"/>
                <w:lang w:val="en-US" w:eastAsia="zh-CN"/>
              </w:rPr>
              <w:t>且</w:t>
            </w:r>
            <w:r>
              <w:rPr>
                <w:rFonts w:hint="eastAsia" w:ascii="宋体" w:hAnsi="宋体" w:cs="宋体" w:eastAsiaTheme="minorEastAsia"/>
                <w:sz w:val="24"/>
              </w:rPr>
              <w:t>支持身份证、驾照、行驶证等多种身份证件OCR图像采集与信息识别</w:t>
            </w:r>
            <w:r>
              <w:rPr>
                <w:rFonts w:hint="eastAsia" w:ascii="宋体" w:hAnsi="宋体" w:cs="宋体" w:eastAsiaTheme="minorEastAsia"/>
                <w:sz w:val="24"/>
                <w:lang w:eastAsia="zh-CN"/>
              </w:rPr>
              <w:t>；</w:t>
            </w:r>
            <w:r>
              <w:rPr>
                <w:rFonts w:hint="eastAsia" w:ascii="宋体" w:hAnsi="宋体" w:cs="宋体"/>
                <w:sz w:val="24"/>
              </w:rPr>
              <w:t>支持红外感应和补光灯功能</w:t>
            </w:r>
            <w:r>
              <w:rPr>
                <w:rFonts w:hint="eastAsia" w:ascii="宋体" w:hAnsi="宋体" w:cs="宋体"/>
                <w:sz w:val="24"/>
                <w:lang w:eastAsia="zh-CN"/>
              </w:rPr>
              <w:t>；</w:t>
            </w:r>
          </w:p>
          <w:p w14:paraId="32047571">
            <w:pPr>
              <w:bidi w:val="0"/>
              <w:spacing w:beforeLines="-2147483648" w:afterLines="-2147483648" w:line="400" w:lineRule="exact"/>
              <w:ind w:firstLine="0"/>
              <w:jc w:val="left"/>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身份验证：人脸识别，支持活体人脸识别；需提供设备自带的人脸采集、特征值生成及人脸识别比对的SDK或API服务；</w:t>
            </w:r>
          </w:p>
          <w:p w14:paraId="34C93F5A">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sz w:val="24"/>
                <w:lang w:val="en-US" w:eastAsia="zh-CN"/>
              </w:rPr>
              <w:t>11、</w:t>
            </w:r>
            <w:r>
              <w:rPr>
                <w:rFonts w:hint="eastAsia" w:ascii="宋体" w:hAnsi="宋体" w:cs="宋体"/>
                <w:sz w:val="24"/>
              </w:rPr>
              <w:t>功能按键：重启物理按钮</w:t>
            </w:r>
            <w:r>
              <w:rPr>
                <w:rFonts w:hint="eastAsia" w:ascii="宋体" w:hAnsi="宋体" w:cs="宋体"/>
                <w:sz w:val="24"/>
                <w:lang w:eastAsia="zh-CN"/>
              </w:rPr>
              <w:t>。</w:t>
            </w:r>
          </w:p>
          <w:p w14:paraId="314AA01C">
            <w:pPr>
              <w:spacing w:line="400" w:lineRule="exact"/>
              <w:jc w:val="left"/>
              <w:rPr>
                <w:rFonts w:ascii="宋体" w:hAnsi="宋体" w:eastAsia="宋体" w:cs="宋体"/>
                <w:color w:val="auto"/>
                <w:sz w:val="24"/>
              </w:rPr>
            </w:pPr>
            <w:r>
              <w:rPr>
                <w:rFonts w:hint="eastAsia" w:ascii="宋体" w:hAnsi="宋体" w:cs="宋体" w:eastAsiaTheme="minorEastAsia"/>
                <w:b w:val="0"/>
                <w:bCs w:val="0"/>
                <w:sz w:val="24"/>
                <w:lang w:val="en-US" w:eastAsia="zh-CN"/>
              </w:rPr>
              <w:t>12、</w:t>
            </w:r>
            <w:r>
              <w:rPr>
                <w:rFonts w:hint="eastAsia" w:ascii="宋体" w:hAnsi="宋体" w:cs="宋体" w:eastAsiaTheme="minorEastAsia"/>
                <w:sz w:val="24"/>
              </w:rPr>
              <w:t>含APP功能：实现外协人员进监自助登记、人证比对核验功能；以及根据</w:t>
            </w:r>
            <w:r>
              <w:rPr>
                <w:rFonts w:hint="eastAsia" w:ascii="宋体" w:hAnsi="宋体" w:cs="宋体" w:eastAsiaTheme="minorEastAsia"/>
                <w:sz w:val="24"/>
                <w:lang w:eastAsia="zh-CN"/>
              </w:rPr>
              <w:t>采购人</w:t>
            </w:r>
            <w:r>
              <w:rPr>
                <w:rFonts w:hint="eastAsia" w:ascii="宋体" w:hAnsi="宋体" w:cs="宋体" w:eastAsiaTheme="minorEastAsia"/>
                <w:sz w:val="24"/>
              </w:rPr>
              <w:t>需求完善全流程外协出入监管控功能。</w:t>
            </w:r>
          </w:p>
        </w:tc>
        <w:tc>
          <w:tcPr>
            <w:tcW w:w="783" w:type="dxa"/>
            <w:tcBorders>
              <w:top w:val="single" w:color="auto" w:sz="4" w:space="0"/>
              <w:left w:val="single" w:color="auto" w:sz="4" w:space="0"/>
              <w:bottom w:val="single" w:color="auto" w:sz="4" w:space="0"/>
              <w:right w:val="single" w:color="auto" w:sz="4" w:space="0"/>
            </w:tcBorders>
            <w:vAlign w:val="center"/>
          </w:tcPr>
          <w:p w14:paraId="0667F042">
            <w:pPr>
              <w:widowControl/>
              <w:jc w:val="center"/>
              <w:textAlignment w:val="center"/>
            </w:pPr>
            <w:r>
              <w:rPr>
                <w:rFonts w:hint="eastAsia" w:ascii="宋体" w:hAnsi="宋体" w:eastAsia="宋体" w:cs="宋体"/>
                <w:color w:val="000000"/>
                <w:kern w:val="0"/>
                <w:sz w:val="24"/>
              </w:rPr>
              <w:t>2台</w:t>
            </w:r>
          </w:p>
        </w:tc>
      </w:tr>
      <w:tr w14:paraId="7693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Borders>
              <w:top w:val="single" w:color="auto" w:sz="4" w:space="0"/>
              <w:left w:val="single" w:color="auto" w:sz="4" w:space="0"/>
              <w:bottom w:val="single" w:color="auto" w:sz="4" w:space="0"/>
              <w:right w:val="single" w:color="auto" w:sz="4" w:space="0"/>
            </w:tcBorders>
            <w:vAlign w:val="center"/>
          </w:tcPr>
          <w:p w14:paraId="539AE993">
            <w:pPr>
              <w:spacing w:line="400" w:lineRule="exact"/>
              <w:jc w:val="center"/>
            </w:pPr>
            <w:r>
              <w:rPr>
                <w:rFonts w:hint="eastAsia" w:ascii="宋体" w:hAnsi="宋体" w:eastAsia="宋体" w:cs="宋体"/>
                <w:sz w:val="24"/>
              </w:rPr>
              <w:t>2</w:t>
            </w:r>
          </w:p>
        </w:tc>
        <w:tc>
          <w:tcPr>
            <w:tcW w:w="1233" w:type="dxa"/>
            <w:tcBorders>
              <w:top w:val="single" w:color="auto" w:sz="4" w:space="0"/>
              <w:left w:val="single" w:color="auto" w:sz="4" w:space="0"/>
              <w:bottom w:val="single" w:color="auto" w:sz="4" w:space="0"/>
              <w:right w:val="single" w:color="auto" w:sz="4" w:space="0"/>
            </w:tcBorders>
            <w:vAlign w:val="center"/>
          </w:tcPr>
          <w:p w14:paraId="1E7FBAFC">
            <w:pPr>
              <w:widowControl/>
              <w:jc w:val="center"/>
              <w:textAlignment w:val="center"/>
            </w:pPr>
            <w:r>
              <w:rPr>
                <w:rFonts w:hint="eastAsia" w:ascii="宋体" w:hAnsi="宋体" w:eastAsia="宋体" w:cs="宋体"/>
                <w:color w:val="000000"/>
                <w:kern w:val="0"/>
                <w:sz w:val="24"/>
              </w:rPr>
              <w:t>外协出监核验终端</w:t>
            </w:r>
          </w:p>
        </w:tc>
        <w:tc>
          <w:tcPr>
            <w:tcW w:w="6410" w:type="dxa"/>
            <w:tcBorders>
              <w:top w:val="single" w:color="auto" w:sz="4" w:space="0"/>
              <w:left w:val="single" w:color="auto" w:sz="4" w:space="0"/>
              <w:bottom w:val="single" w:color="auto" w:sz="4" w:space="0"/>
              <w:right w:val="single" w:color="auto" w:sz="4" w:space="0"/>
            </w:tcBorders>
            <w:vAlign w:val="center"/>
          </w:tcPr>
          <w:p w14:paraId="1E859882">
            <w:pPr>
              <w:spacing w:line="400" w:lineRule="exact"/>
              <w:jc w:val="left"/>
              <w:rPr>
                <w:rFonts w:ascii="宋体" w:hAnsi="宋体" w:eastAsia="宋体" w:cs="宋体"/>
                <w:color w:val="auto"/>
                <w:sz w:val="24"/>
              </w:rPr>
            </w:pPr>
            <w:r>
              <w:rPr>
                <w:rFonts w:hint="eastAsia" w:ascii="宋体" w:hAnsi="宋体" w:eastAsia="宋体" w:cs="宋体"/>
                <w:color w:val="auto"/>
                <w:sz w:val="24"/>
              </w:rPr>
              <w:t>1、≥四核1.8GHz CPU；</w:t>
            </w:r>
            <w:r>
              <w:rPr>
                <w:rFonts w:hint="eastAsia" w:ascii="宋体" w:hAnsi="宋体" w:eastAsia="宋体" w:cs="宋体"/>
                <w:color w:val="auto"/>
                <w:sz w:val="24"/>
              </w:rPr>
              <w:br w:type="textWrapping"/>
            </w:r>
            <w:r>
              <w:rPr>
                <w:rFonts w:hint="eastAsia" w:ascii="宋体" w:hAnsi="宋体" w:eastAsia="宋体" w:cs="宋体"/>
                <w:color w:val="auto"/>
                <w:sz w:val="24"/>
                <w:lang w:val="en-US" w:eastAsia="zh-CN"/>
              </w:rPr>
              <w:t>2</w:t>
            </w:r>
            <w:r>
              <w:rPr>
                <w:rFonts w:hint="eastAsia" w:ascii="宋体" w:hAnsi="宋体" w:eastAsia="宋体" w:cs="宋体"/>
                <w:color w:val="auto"/>
                <w:sz w:val="24"/>
              </w:rPr>
              <w:t>、以太网：≥1个，10M/100M/1000M自适应以太网；</w:t>
            </w:r>
            <w:r>
              <w:rPr>
                <w:rFonts w:hint="eastAsia" w:ascii="宋体" w:hAnsi="宋体" w:eastAsia="宋体" w:cs="宋体"/>
                <w:color w:val="auto"/>
                <w:sz w:val="24"/>
              </w:rPr>
              <w:br w:type="textWrapping"/>
            </w:r>
            <w:r>
              <w:rPr>
                <w:rFonts w:hint="eastAsia" w:ascii="宋体" w:hAnsi="宋体" w:eastAsia="宋体" w:cs="宋体"/>
                <w:color w:val="auto"/>
                <w:sz w:val="24"/>
                <w:lang w:val="en-US" w:eastAsia="zh-CN"/>
              </w:rPr>
              <w:t>3</w:t>
            </w:r>
            <w:r>
              <w:rPr>
                <w:rFonts w:hint="eastAsia" w:ascii="宋体" w:hAnsi="宋体" w:eastAsia="宋体" w:cs="宋体"/>
                <w:color w:val="auto"/>
                <w:sz w:val="24"/>
              </w:rPr>
              <w:t>、≥10</w:t>
            </w:r>
            <w:r>
              <w:rPr>
                <w:rFonts w:hint="eastAsia" w:ascii="宋体" w:hAnsi="宋体" w:eastAsia="宋体" w:cs="宋体"/>
                <w:color w:val="auto"/>
                <w:sz w:val="24"/>
                <w:lang w:val="en-US" w:eastAsia="zh-CN"/>
              </w:rPr>
              <w:t>英</w:t>
            </w:r>
            <w:r>
              <w:rPr>
                <w:rFonts w:hint="eastAsia" w:ascii="宋体" w:hAnsi="宋体" w:eastAsia="宋体" w:cs="宋体"/>
                <w:color w:val="auto"/>
                <w:sz w:val="24"/>
              </w:rPr>
              <w:t>寸液晶屏，分辨率：≥</w:t>
            </w:r>
            <w:r>
              <w:rPr>
                <w:rFonts w:hint="eastAsia" w:ascii="宋体" w:hAnsi="宋体" w:eastAsia="宋体" w:cs="宋体"/>
                <w:color w:val="auto"/>
                <w:sz w:val="24"/>
                <w:lang w:eastAsia="zh-CN"/>
              </w:rPr>
              <w:t>（</w:t>
            </w:r>
            <w:r>
              <w:rPr>
                <w:rFonts w:hint="eastAsia" w:ascii="宋体" w:hAnsi="宋体" w:eastAsia="宋体" w:cs="宋体"/>
                <w:color w:val="auto"/>
                <w:sz w:val="24"/>
              </w:rPr>
              <w:t>1280</w:t>
            </w:r>
            <w:r>
              <w:rPr>
                <w:rFonts w:hint="eastAsia" w:ascii="宋体" w:hAnsi="宋体" w:eastAsia="宋体" w:cs="宋体"/>
                <w:color w:val="auto"/>
                <w:sz w:val="24"/>
                <w:szCs w:val="24"/>
                <w:vertAlign w:val="baseline"/>
              </w:rPr>
              <w:t>×</w:t>
            </w:r>
            <w:r>
              <w:rPr>
                <w:rFonts w:hint="eastAsia" w:ascii="宋体" w:hAnsi="宋体" w:eastAsia="宋体" w:cs="宋体"/>
                <w:color w:val="auto"/>
                <w:sz w:val="24"/>
              </w:rPr>
              <w:t>800</w:t>
            </w:r>
            <w:r>
              <w:rPr>
                <w:rFonts w:hint="eastAsia" w:ascii="宋体" w:hAnsi="宋体" w:eastAsia="宋体" w:cs="宋体"/>
                <w:color w:val="auto"/>
                <w:sz w:val="24"/>
                <w:lang w:eastAsia="zh-CN"/>
              </w:rPr>
              <w:t>）</w:t>
            </w:r>
            <w:r>
              <w:rPr>
                <w:rFonts w:hint="eastAsia" w:ascii="宋体" w:hAnsi="宋体" w:eastAsia="宋体" w:cs="宋体"/>
                <w:color w:val="auto"/>
                <w:sz w:val="24"/>
              </w:rPr>
              <w:t>，屏幕比例：16:10；</w:t>
            </w:r>
            <w:r>
              <w:rPr>
                <w:rFonts w:hint="eastAsia" w:ascii="宋体" w:hAnsi="宋体" w:eastAsia="宋体" w:cs="宋体"/>
                <w:color w:val="auto"/>
                <w:sz w:val="24"/>
              </w:rPr>
              <w:br w:type="textWrapping"/>
            </w:r>
            <w:r>
              <w:rPr>
                <w:rFonts w:hint="eastAsia" w:ascii="宋体" w:hAnsi="宋体" w:eastAsia="宋体" w:cs="宋体"/>
                <w:color w:val="auto"/>
                <w:sz w:val="24"/>
                <w:lang w:val="en-US" w:eastAsia="zh-CN"/>
              </w:rPr>
              <w:t>4</w:t>
            </w:r>
            <w:r>
              <w:rPr>
                <w:rFonts w:hint="eastAsia" w:ascii="宋体" w:hAnsi="宋体" w:eastAsia="宋体" w:cs="宋体"/>
                <w:color w:val="auto"/>
                <w:sz w:val="24"/>
              </w:rPr>
              <w:t>、≥500W像素摄像头；</w:t>
            </w:r>
          </w:p>
          <w:p w14:paraId="3BF34A22">
            <w:pPr>
              <w:spacing w:line="400" w:lineRule="exact"/>
              <w:jc w:val="left"/>
              <w:rPr>
                <w:rFonts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、触摸屏。</w:t>
            </w:r>
          </w:p>
          <w:p w14:paraId="7FCAA46E">
            <w:pPr>
              <w:spacing w:line="400" w:lineRule="exact"/>
              <w:jc w:val="left"/>
              <w:rPr>
                <w:rFonts w:ascii="宋体" w:hAnsi="宋体" w:eastAsia="宋体" w:cs="宋体"/>
                <w:color w:val="auto"/>
                <w:sz w:val="24"/>
              </w:rPr>
            </w:pPr>
            <w:r>
              <w:rPr>
                <w:rFonts w:hint="eastAsia" w:ascii="宋体" w:hAnsi="宋体" w:eastAsia="宋体" w:cs="宋体"/>
                <w:b w:val="0"/>
                <w:bCs w:val="0"/>
                <w:color w:val="auto"/>
                <w:sz w:val="24"/>
                <w:lang w:val="en-US" w:eastAsia="zh-CN"/>
              </w:rPr>
              <w:t>6、</w:t>
            </w:r>
            <w:r>
              <w:rPr>
                <w:rFonts w:hint="eastAsia" w:ascii="宋体" w:hAnsi="宋体" w:eastAsia="宋体" w:cs="宋体"/>
                <w:b w:val="0"/>
                <w:bCs w:val="0"/>
                <w:color w:val="auto"/>
                <w:sz w:val="24"/>
                <w:highlight w:val="none"/>
              </w:rPr>
              <w:t>运行</w:t>
            </w:r>
            <w:r>
              <w:rPr>
                <w:rFonts w:hint="eastAsia" w:ascii="宋体" w:hAnsi="宋体" w:eastAsia="宋体" w:cs="宋体"/>
                <w:color w:val="auto"/>
                <w:sz w:val="24"/>
              </w:rPr>
              <w:t>内存≥2G，存储</w:t>
            </w:r>
            <w:r>
              <w:rPr>
                <w:rFonts w:hint="eastAsia" w:ascii="宋体" w:hAnsi="宋体" w:eastAsia="宋体" w:cs="宋体"/>
                <w:b w:val="0"/>
                <w:bCs w:val="0"/>
                <w:color w:val="auto"/>
                <w:sz w:val="24"/>
                <w:highlight w:val="none"/>
              </w:rPr>
              <w:t>内存</w:t>
            </w:r>
            <w:r>
              <w:rPr>
                <w:rFonts w:hint="eastAsia" w:ascii="宋体" w:hAnsi="宋体" w:eastAsia="宋体" w:cs="宋体"/>
                <w:color w:val="auto"/>
                <w:sz w:val="24"/>
              </w:rPr>
              <w:t>≥32G；</w:t>
            </w:r>
          </w:p>
        </w:tc>
        <w:tc>
          <w:tcPr>
            <w:tcW w:w="783" w:type="dxa"/>
            <w:tcBorders>
              <w:top w:val="single" w:color="auto" w:sz="4" w:space="0"/>
              <w:left w:val="single" w:color="auto" w:sz="4" w:space="0"/>
              <w:bottom w:val="single" w:color="auto" w:sz="4" w:space="0"/>
              <w:right w:val="single" w:color="auto" w:sz="4" w:space="0"/>
            </w:tcBorders>
            <w:vAlign w:val="center"/>
          </w:tcPr>
          <w:p w14:paraId="4B34B22B">
            <w:pPr>
              <w:widowControl/>
              <w:jc w:val="center"/>
              <w:textAlignment w:val="center"/>
            </w:pPr>
            <w:r>
              <w:rPr>
                <w:rFonts w:hint="eastAsia" w:ascii="宋体" w:hAnsi="宋体" w:eastAsia="宋体" w:cs="宋体"/>
                <w:color w:val="000000"/>
                <w:kern w:val="0"/>
                <w:sz w:val="24"/>
              </w:rPr>
              <w:t>1台</w:t>
            </w:r>
          </w:p>
        </w:tc>
      </w:tr>
      <w:tr w14:paraId="230C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Borders>
              <w:top w:val="single" w:color="auto" w:sz="4" w:space="0"/>
              <w:left w:val="single" w:color="auto" w:sz="4" w:space="0"/>
              <w:bottom w:val="single" w:color="auto" w:sz="4" w:space="0"/>
              <w:right w:val="single" w:color="auto" w:sz="4" w:space="0"/>
            </w:tcBorders>
            <w:vAlign w:val="center"/>
          </w:tcPr>
          <w:p w14:paraId="44F3515C">
            <w:pPr>
              <w:spacing w:line="400" w:lineRule="exact"/>
              <w:jc w:val="center"/>
            </w:pPr>
            <w:r>
              <w:rPr>
                <w:rFonts w:hint="eastAsia" w:ascii="宋体" w:hAnsi="宋体" w:eastAsia="宋体" w:cs="宋体"/>
                <w:sz w:val="24"/>
              </w:rPr>
              <w:t>3</w:t>
            </w:r>
          </w:p>
        </w:tc>
        <w:tc>
          <w:tcPr>
            <w:tcW w:w="1233" w:type="dxa"/>
            <w:tcBorders>
              <w:top w:val="single" w:color="auto" w:sz="4" w:space="0"/>
              <w:left w:val="single" w:color="auto" w:sz="4" w:space="0"/>
              <w:bottom w:val="single" w:color="auto" w:sz="4" w:space="0"/>
              <w:right w:val="single" w:color="auto" w:sz="4" w:space="0"/>
            </w:tcBorders>
            <w:vAlign w:val="center"/>
          </w:tcPr>
          <w:p w14:paraId="275C4E62">
            <w:pPr>
              <w:widowControl/>
              <w:jc w:val="center"/>
              <w:textAlignment w:val="center"/>
            </w:pPr>
            <w:r>
              <w:rPr>
                <w:rFonts w:hint="eastAsia" w:ascii="宋体" w:hAnsi="宋体" w:eastAsia="宋体" w:cs="宋体"/>
                <w:color w:val="000000"/>
                <w:kern w:val="0"/>
                <w:sz w:val="24"/>
              </w:rPr>
              <w:t>物品核验管理终端</w:t>
            </w:r>
          </w:p>
        </w:tc>
        <w:tc>
          <w:tcPr>
            <w:tcW w:w="6410" w:type="dxa"/>
            <w:tcBorders>
              <w:top w:val="single" w:color="auto" w:sz="4" w:space="0"/>
              <w:left w:val="single" w:color="auto" w:sz="4" w:space="0"/>
              <w:bottom w:val="single" w:color="auto" w:sz="4" w:space="0"/>
              <w:right w:val="single" w:color="auto" w:sz="4" w:space="0"/>
            </w:tcBorders>
            <w:vAlign w:val="center"/>
          </w:tcPr>
          <w:p w14:paraId="767F9464">
            <w:pPr>
              <w:numPr>
                <w:ilvl w:val="0"/>
                <w:numId w:val="0"/>
              </w:numPr>
              <w:spacing w:line="40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sz w:val="24"/>
                <w:highlight w:val="none"/>
              </w:rPr>
              <w:t>≥IP67三防平板，≥8英寸高清触摸屏。≥8 核，≥2.0GHZ；</w:t>
            </w:r>
          </w:p>
          <w:p w14:paraId="53A7558E">
            <w:pPr>
              <w:spacing w:line="40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后置摄像头1300万及以上像素，1米及以上耐摔落、带二代离线身份证模块，支持防刮花、支持湿手触摸和手套触摸。含APP功能：可实现物品自动识别功能，能识别入监常用工具物品；实现携带物品登记、绑定以及核销等功能；支持离线和联网两种工作模式。以及根据</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b w:val="0"/>
                <w:bCs w:val="0"/>
                <w:color w:val="auto"/>
                <w:sz w:val="24"/>
                <w:highlight w:val="none"/>
              </w:rPr>
              <w:t>需求完善工具核验管控功能。</w:t>
            </w:r>
          </w:p>
          <w:p w14:paraId="43E261C1">
            <w:pPr>
              <w:spacing w:line="400" w:lineRule="exact"/>
              <w:jc w:val="left"/>
              <w:rPr>
                <w:rFonts w:hint="eastAsia" w:eastAsia="宋体"/>
                <w:color w:val="auto"/>
                <w:highlight w:val="none"/>
                <w:lang w:eastAsia="zh-CN"/>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 xml:space="preserve">运行内存≥4G，存储内存≥64G </w:t>
            </w:r>
            <w:r>
              <w:rPr>
                <w:rFonts w:hint="eastAsia" w:ascii="宋体" w:hAnsi="宋体" w:eastAsia="宋体" w:cs="宋体"/>
                <w:b w:val="0"/>
                <w:bCs w:val="0"/>
                <w:color w:val="auto"/>
                <w:sz w:val="24"/>
                <w:highlight w:val="none"/>
                <w:lang w:eastAsia="zh-CN"/>
              </w:rPr>
              <w:t>；</w:t>
            </w:r>
          </w:p>
        </w:tc>
        <w:tc>
          <w:tcPr>
            <w:tcW w:w="783" w:type="dxa"/>
            <w:tcBorders>
              <w:top w:val="single" w:color="auto" w:sz="4" w:space="0"/>
              <w:left w:val="single" w:color="auto" w:sz="4" w:space="0"/>
              <w:bottom w:val="single" w:color="auto" w:sz="4" w:space="0"/>
              <w:right w:val="single" w:color="auto" w:sz="4" w:space="0"/>
            </w:tcBorders>
            <w:vAlign w:val="center"/>
          </w:tcPr>
          <w:p w14:paraId="1CA3C177">
            <w:pPr>
              <w:widowControl/>
              <w:jc w:val="center"/>
              <w:textAlignment w:val="center"/>
            </w:pPr>
            <w:r>
              <w:rPr>
                <w:rFonts w:hint="eastAsia" w:ascii="宋体" w:hAnsi="宋体" w:eastAsia="宋体" w:cs="宋体"/>
                <w:color w:val="000000"/>
                <w:kern w:val="0"/>
                <w:sz w:val="24"/>
              </w:rPr>
              <w:t>2台</w:t>
            </w:r>
          </w:p>
        </w:tc>
      </w:tr>
      <w:tr w14:paraId="5EB4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Borders>
              <w:top w:val="single" w:color="auto" w:sz="4" w:space="0"/>
              <w:left w:val="single" w:color="auto" w:sz="4" w:space="0"/>
              <w:bottom w:val="single" w:color="auto" w:sz="4" w:space="0"/>
              <w:right w:val="single" w:color="auto" w:sz="4" w:space="0"/>
            </w:tcBorders>
            <w:vAlign w:val="center"/>
          </w:tcPr>
          <w:p w14:paraId="48276889">
            <w:pPr>
              <w:spacing w:line="400" w:lineRule="exact"/>
              <w:jc w:val="center"/>
            </w:pPr>
            <w:r>
              <w:rPr>
                <w:rFonts w:hint="eastAsia" w:ascii="宋体" w:hAnsi="宋体" w:eastAsia="宋体" w:cs="宋体"/>
                <w:sz w:val="24"/>
              </w:rPr>
              <w:t>4</w:t>
            </w:r>
          </w:p>
        </w:tc>
        <w:tc>
          <w:tcPr>
            <w:tcW w:w="1233" w:type="dxa"/>
            <w:tcBorders>
              <w:top w:val="single" w:color="auto" w:sz="4" w:space="0"/>
              <w:left w:val="single" w:color="auto" w:sz="4" w:space="0"/>
              <w:bottom w:val="single" w:color="auto" w:sz="4" w:space="0"/>
              <w:right w:val="single" w:color="auto" w:sz="4" w:space="0"/>
            </w:tcBorders>
            <w:vAlign w:val="center"/>
          </w:tcPr>
          <w:p w14:paraId="2ABD897E">
            <w:pPr>
              <w:widowControl/>
              <w:jc w:val="center"/>
              <w:textAlignment w:val="center"/>
            </w:pPr>
            <w:r>
              <w:rPr>
                <w:rFonts w:hint="eastAsia" w:ascii="宋体" w:hAnsi="宋体" w:eastAsia="宋体" w:cs="宋体"/>
                <w:color w:val="000000"/>
                <w:kern w:val="0"/>
                <w:sz w:val="24"/>
              </w:rPr>
              <w:t>数字展示看板</w:t>
            </w:r>
          </w:p>
        </w:tc>
        <w:tc>
          <w:tcPr>
            <w:tcW w:w="6410" w:type="dxa"/>
            <w:tcBorders>
              <w:top w:val="single" w:color="auto" w:sz="4" w:space="0"/>
              <w:left w:val="single" w:color="auto" w:sz="4" w:space="0"/>
              <w:bottom w:val="single" w:color="auto" w:sz="4" w:space="0"/>
              <w:right w:val="single" w:color="auto" w:sz="4" w:space="0"/>
            </w:tcBorders>
            <w:vAlign w:val="center"/>
          </w:tcPr>
          <w:p w14:paraId="296BBFA1">
            <w:pPr>
              <w:bidi w:val="0"/>
              <w:spacing w:beforeLines="-2147483648" w:afterLines="-2147483648" w:line="400" w:lineRule="exact"/>
              <w:ind w:firstLine="0"/>
              <w:jc w:val="left"/>
              <w:rPr>
                <w:rFonts w:hint="eastAsia" w:ascii="宋体" w:hAnsi="宋体" w:cs="宋体"/>
                <w:sz w:val="24"/>
                <w:lang w:eastAsia="zh-CN"/>
              </w:rPr>
            </w:pPr>
            <w:r>
              <w:rPr>
                <w:rFonts w:hint="eastAsia" w:ascii="宋体" w:hAnsi="宋体" w:cs="宋体"/>
                <w:sz w:val="24"/>
                <w:lang w:val="en-US" w:eastAsia="zh-CN"/>
              </w:rPr>
              <w:t>1、</w:t>
            </w:r>
            <w:r>
              <w:rPr>
                <w:rFonts w:hint="eastAsia" w:ascii="宋体" w:hAnsi="宋体" w:cs="宋体"/>
                <w:sz w:val="24"/>
              </w:rPr>
              <w:t>CPU：国产CPU，≥四核</w:t>
            </w:r>
            <w:r>
              <w:rPr>
                <w:rFonts w:hint="eastAsia" w:ascii="宋体" w:hAnsi="宋体" w:cs="宋体"/>
                <w:sz w:val="24"/>
                <w:lang w:eastAsia="zh-CN"/>
              </w:rPr>
              <w:t>，</w:t>
            </w:r>
            <w:r>
              <w:rPr>
                <w:rFonts w:hint="eastAsia" w:ascii="宋体" w:hAnsi="宋体" w:cs="宋体"/>
                <w:sz w:val="24"/>
                <w:lang w:val="en-US" w:eastAsia="zh-CN"/>
              </w:rPr>
              <w:t>配备</w:t>
            </w:r>
            <w:r>
              <w:rPr>
                <w:rFonts w:hint="eastAsia" w:ascii="宋体" w:hAnsi="宋体" w:cs="宋体"/>
                <w:sz w:val="24"/>
              </w:rPr>
              <w:t>GPU</w:t>
            </w:r>
            <w:r>
              <w:rPr>
                <w:rFonts w:hint="eastAsia" w:ascii="宋体" w:hAnsi="宋体" w:cs="宋体"/>
                <w:sz w:val="24"/>
                <w:lang w:eastAsia="zh-CN"/>
              </w:rPr>
              <w:t>芯片；</w:t>
            </w:r>
          </w:p>
          <w:p w14:paraId="2AB60036">
            <w:pPr>
              <w:bidi w:val="0"/>
              <w:spacing w:beforeLines="-2147483648" w:afterLines="-2147483648" w:line="400" w:lineRule="exact"/>
              <w:ind w:firstLine="0"/>
              <w:jc w:val="left"/>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rPr>
              <w:t>内存：≥4GB</w:t>
            </w:r>
            <w:r>
              <w:rPr>
                <w:rFonts w:hint="eastAsia" w:ascii="宋体" w:hAnsi="宋体" w:cs="宋体"/>
                <w:sz w:val="24"/>
                <w:lang w:eastAsia="zh-CN"/>
              </w:rPr>
              <w:t>；</w:t>
            </w:r>
          </w:p>
          <w:p w14:paraId="165C9562">
            <w:pPr>
              <w:bidi w:val="0"/>
              <w:spacing w:beforeLines="-2147483648" w:afterLines="-2147483648" w:line="400" w:lineRule="exact"/>
              <w:ind w:firstLine="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存储：≥</w:t>
            </w:r>
            <w:r>
              <w:rPr>
                <w:rFonts w:hint="eastAsia" w:ascii="宋体" w:hAnsi="宋体" w:cs="宋体"/>
                <w:sz w:val="24"/>
                <w:lang w:val="en-US" w:eastAsia="zh-CN"/>
              </w:rPr>
              <w:t>32</w:t>
            </w:r>
            <w:r>
              <w:rPr>
                <w:rFonts w:hint="eastAsia" w:ascii="宋体" w:hAnsi="宋体" w:cs="宋体"/>
                <w:sz w:val="24"/>
              </w:rPr>
              <w:t>GB</w:t>
            </w:r>
            <w:r>
              <w:rPr>
                <w:rFonts w:hint="eastAsia" w:ascii="宋体" w:hAnsi="宋体" w:cs="宋体"/>
                <w:sz w:val="24"/>
                <w:lang w:eastAsia="zh-CN"/>
              </w:rPr>
              <w:t>；</w:t>
            </w:r>
          </w:p>
          <w:p w14:paraId="6D724D61">
            <w:pPr>
              <w:bidi w:val="0"/>
              <w:spacing w:beforeLines="-2147483648" w:afterLines="-2147483648" w:line="400" w:lineRule="exact"/>
              <w:ind w:firstLine="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通讯接口：1路千兆以太网，1个USB3.0接口，1个USB2.0接口，1个HDMI</w:t>
            </w:r>
            <w:r>
              <w:rPr>
                <w:rFonts w:hint="eastAsia" w:ascii="宋体" w:hAnsi="宋体" w:cs="宋体"/>
                <w:sz w:val="24"/>
                <w:lang w:val="en-US" w:eastAsia="zh-CN"/>
              </w:rPr>
              <w:t xml:space="preserve"> </w:t>
            </w:r>
            <w:r>
              <w:rPr>
                <w:rFonts w:hint="eastAsia" w:ascii="宋体" w:hAnsi="宋体" w:cs="宋体"/>
                <w:sz w:val="24"/>
              </w:rPr>
              <w:t>2.0输出接口，1路音频输入/输出口，1个</w:t>
            </w:r>
            <w:r>
              <w:rPr>
                <w:rFonts w:hint="eastAsia" w:ascii="宋体" w:hAnsi="宋体" w:cs="宋体"/>
                <w:sz w:val="24"/>
                <w:lang w:val="en-US" w:eastAsia="zh-CN"/>
              </w:rPr>
              <w:t>存储扩展</w:t>
            </w:r>
            <w:r>
              <w:rPr>
                <w:rFonts w:hint="eastAsia" w:ascii="宋体" w:hAnsi="宋体" w:cs="宋体"/>
                <w:sz w:val="24"/>
              </w:rPr>
              <w:t>卡槽</w:t>
            </w:r>
            <w:r>
              <w:rPr>
                <w:rFonts w:hint="eastAsia" w:ascii="宋体" w:hAnsi="宋体" w:cs="宋体"/>
                <w:sz w:val="24"/>
                <w:lang w:eastAsia="zh-CN"/>
              </w:rPr>
              <w:t>；</w:t>
            </w:r>
          </w:p>
          <w:p w14:paraId="674605E0">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sz w:val="24"/>
              </w:rPr>
              <w:t>音频输出：内置立体声扬声器</w:t>
            </w:r>
            <w:r>
              <w:rPr>
                <w:rFonts w:hint="eastAsia" w:ascii="宋体" w:hAnsi="宋体" w:cs="宋体"/>
                <w:sz w:val="24"/>
                <w:lang w:eastAsia="zh-CN"/>
              </w:rPr>
              <w:t>；</w:t>
            </w:r>
          </w:p>
          <w:p w14:paraId="7BA53137">
            <w:pPr>
              <w:bidi w:val="0"/>
              <w:spacing w:beforeLines="-2147483648" w:afterLines="-2147483648" w:line="400" w:lineRule="exact"/>
              <w:ind w:firstLine="0"/>
              <w:jc w:val="left"/>
              <w:rPr>
                <w:rFonts w:hint="eastAsia" w:ascii="宋体" w:hAnsi="宋体" w:cs="宋体"/>
                <w:sz w:val="24"/>
                <w:lang w:eastAsia="zh-CN"/>
              </w:rPr>
            </w:pPr>
            <w:r>
              <w:rPr>
                <w:rFonts w:hint="eastAsia" w:ascii="宋体" w:hAnsi="宋体" w:cs="宋体"/>
                <w:sz w:val="24"/>
                <w:lang w:val="en-US" w:eastAsia="zh-CN"/>
              </w:rPr>
              <w:t>5、</w:t>
            </w:r>
            <w:r>
              <w:rPr>
                <w:rFonts w:hint="eastAsia" w:ascii="宋体" w:hAnsi="宋体" w:cs="宋体"/>
                <w:sz w:val="24"/>
              </w:rPr>
              <w:t>显示屏幕：≥</w:t>
            </w:r>
            <w:r>
              <w:rPr>
                <w:rFonts w:hint="eastAsia" w:ascii="宋体" w:hAnsi="宋体" w:cs="宋体"/>
                <w:sz w:val="24"/>
                <w:lang w:val="en-US" w:eastAsia="zh-CN"/>
              </w:rPr>
              <w:t>7</w:t>
            </w:r>
            <w:r>
              <w:rPr>
                <w:rFonts w:hint="eastAsia" w:ascii="宋体" w:hAnsi="宋体" w:cs="宋体"/>
                <w:sz w:val="24"/>
              </w:rPr>
              <w:t>5</w:t>
            </w:r>
            <w:r>
              <w:rPr>
                <w:rFonts w:hint="eastAsia" w:ascii="宋体" w:hAnsi="宋体" w:cs="宋体"/>
                <w:sz w:val="24"/>
                <w:lang w:eastAsia="zh-CN"/>
              </w:rPr>
              <w:t>英寸</w:t>
            </w:r>
            <w:r>
              <w:rPr>
                <w:rFonts w:hint="eastAsia" w:ascii="宋体" w:hAnsi="宋体" w:cs="宋体"/>
                <w:sz w:val="24"/>
              </w:rPr>
              <w:t>液晶显示屏，</w:t>
            </w:r>
            <w:r>
              <w:rPr>
                <w:rFonts w:hint="eastAsia" w:ascii="宋体" w:hAnsi="宋体" w:cs="宋体"/>
                <w:sz w:val="24"/>
                <w:lang w:val="en-US" w:eastAsia="zh-CN"/>
              </w:rPr>
              <w:t>分辨率</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1920*1080</w:t>
            </w:r>
            <w:r>
              <w:rPr>
                <w:rFonts w:hint="eastAsia" w:ascii="宋体" w:hAnsi="宋体" w:cs="宋体"/>
                <w:sz w:val="24"/>
                <w:lang w:eastAsia="zh-CN"/>
              </w:rPr>
              <w:t>）</w:t>
            </w:r>
            <w:r>
              <w:rPr>
                <w:rFonts w:hint="eastAsia" w:ascii="宋体" w:hAnsi="宋体" w:cs="宋体"/>
                <w:sz w:val="24"/>
              </w:rPr>
              <w:t>，屏幕比例16：9，亮度≥300cd/m²</w:t>
            </w:r>
            <w:r>
              <w:rPr>
                <w:rFonts w:hint="eastAsia" w:ascii="宋体" w:hAnsi="宋体" w:cs="宋体"/>
                <w:sz w:val="24"/>
                <w:lang w:eastAsia="zh-CN"/>
              </w:rPr>
              <w:t>；</w:t>
            </w:r>
          </w:p>
          <w:p w14:paraId="121FC984">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sz w:val="24"/>
                <w:lang w:val="en-US" w:eastAsia="zh-CN"/>
              </w:rPr>
              <w:t>6、</w:t>
            </w:r>
            <w:r>
              <w:rPr>
                <w:rFonts w:hint="eastAsia" w:ascii="宋体" w:hAnsi="宋体" w:cs="宋体"/>
                <w:sz w:val="24"/>
              </w:rPr>
              <w:t>支持HDMI</w:t>
            </w:r>
            <w:r>
              <w:rPr>
                <w:rFonts w:hint="eastAsia" w:ascii="宋体" w:hAnsi="宋体" w:cs="宋体"/>
                <w:sz w:val="24"/>
                <w:lang w:val="en-US" w:eastAsia="zh-CN"/>
              </w:rPr>
              <w:t xml:space="preserve"> </w:t>
            </w:r>
            <w:r>
              <w:rPr>
                <w:rFonts w:hint="eastAsia" w:ascii="宋体" w:hAnsi="宋体" w:cs="宋体"/>
                <w:sz w:val="24"/>
              </w:rPr>
              <w:t>2.0</w:t>
            </w:r>
            <w:r>
              <w:rPr>
                <w:rFonts w:hint="eastAsia" w:ascii="宋体" w:hAnsi="宋体" w:cs="宋体"/>
                <w:sz w:val="24"/>
                <w:lang w:eastAsia="zh-CN"/>
              </w:rPr>
              <w:t>扩展显示；</w:t>
            </w:r>
          </w:p>
          <w:p w14:paraId="14760B98">
            <w:pPr>
              <w:bidi w:val="0"/>
              <w:spacing w:beforeLines="-2147483648" w:afterLines="-2147483648" w:line="400" w:lineRule="exact"/>
              <w:ind w:firstLine="0"/>
              <w:jc w:val="left"/>
              <w:rPr>
                <w:rFonts w:hint="eastAsia" w:ascii="宋体" w:hAnsi="宋体" w:cs="宋体"/>
                <w:sz w:val="24"/>
                <w:lang w:eastAsia="zh-CN"/>
              </w:rPr>
            </w:pPr>
            <w:r>
              <w:rPr>
                <w:rFonts w:hint="eastAsia" w:ascii="宋体" w:hAnsi="宋体" w:cs="宋体"/>
                <w:sz w:val="24"/>
                <w:lang w:val="en-US" w:eastAsia="zh-CN"/>
              </w:rPr>
              <w:t>7、</w:t>
            </w:r>
            <w:r>
              <w:rPr>
                <w:rFonts w:hint="eastAsia" w:ascii="宋体" w:hAnsi="宋体" w:cs="宋体"/>
                <w:sz w:val="24"/>
              </w:rPr>
              <w:t>供电方式：220V供电</w:t>
            </w:r>
            <w:r>
              <w:rPr>
                <w:rFonts w:hint="eastAsia" w:ascii="宋体" w:hAnsi="宋体" w:cs="宋体"/>
                <w:sz w:val="24"/>
                <w:lang w:eastAsia="zh-CN"/>
              </w:rPr>
              <w:t>；</w:t>
            </w:r>
          </w:p>
          <w:p w14:paraId="1D3C6347">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sz w:val="24"/>
                <w:lang w:val="en-US" w:eastAsia="zh-CN"/>
              </w:rPr>
              <w:t>8、</w:t>
            </w:r>
            <w:r>
              <w:rPr>
                <w:rFonts w:hint="eastAsia" w:ascii="宋体" w:hAnsi="宋体" w:cs="宋体"/>
                <w:sz w:val="24"/>
              </w:rPr>
              <w:t>安装方式：</w:t>
            </w:r>
            <w:r>
              <w:rPr>
                <w:rFonts w:hint="eastAsia" w:ascii="宋体" w:hAnsi="宋体" w:cs="宋体"/>
                <w:sz w:val="24"/>
                <w:lang w:val="en-US" w:eastAsia="zh-CN"/>
              </w:rPr>
              <w:t>支持</w:t>
            </w:r>
            <w:r>
              <w:rPr>
                <w:rFonts w:hint="eastAsia" w:ascii="宋体" w:hAnsi="宋体" w:cs="宋体"/>
                <w:sz w:val="24"/>
              </w:rPr>
              <w:t>壁挂安装</w:t>
            </w:r>
            <w:r>
              <w:rPr>
                <w:rFonts w:hint="eastAsia" w:ascii="宋体" w:hAnsi="宋体" w:cs="宋体"/>
                <w:sz w:val="24"/>
                <w:lang w:eastAsia="zh-CN"/>
              </w:rPr>
              <w:t>。</w:t>
            </w:r>
          </w:p>
          <w:p w14:paraId="10B6C94F">
            <w:pPr>
              <w:spacing w:line="400" w:lineRule="exact"/>
              <w:jc w:val="left"/>
              <w:rPr>
                <w:rFonts w:ascii="宋体" w:hAnsi="宋体" w:eastAsia="宋体" w:cs="宋体"/>
                <w:color w:val="auto"/>
                <w:sz w:val="24"/>
              </w:rPr>
            </w:pPr>
            <w:r>
              <w:rPr>
                <w:rFonts w:hint="eastAsia" w:ascii="宋体" w:hAnsi="宋体" w:cs="宋体" w:eastAsiaTheme="minorEastAsia"/>
                <w:sz w:val="24"/>
                <w:lang w:val="en-US" w:eastAsia="zh-CN"/>
              </w:rPr>
              <w:t>9、</w:t>
            </w:r>
            <w:r>
              <w:rPr>
                <w:rFonts w:hint="eastAsia" w:ascii="宋体" w:hAnsi="宋体" w:eastAsia="宋体" w:cs="宋体"/>
                <w:color w:val="auto"/>
                <w:sz w:val="24"/>
              </w:rPr>
              <w:t>含软件功能：提供内看守民警出入监外协人员、工具、车辆等信息的统一看板，以及根据采购人需求完善看板展示功能。</w:t>
            </w:r>
          </w:p>
        </w:tc>
        <w:tc>
          <w:tcPr>
            <w:tcW w:w="783" w:type="dxa"/>
            <w:tcBorders>
              <w:top w:val="single" w:color="auto" w:sz="4" w:space="0"/>
              <w:left w:val="single" w:color="auto" w:sz="4" w:space="0"/>
              <w:bottom w:val="single" w:color="auto" w:sz="4" w:space="0"/>
              <w:right w:val="single" w:color="auto" w:sz="4" w:space="0"/>
            </w:tcBorders>
            <w:vAlign w:val="center"/>
          </w:tcPr>
          <w:p w14:paraId="3E8EF805">
            <w:pPr>
              <w:widowControl/>
              <w:jc w:val="center"/>
              <w:textAlignment w:val="center"/>
            </w:pPr>
            <w:r>
              <w:rPr>
                <w:rFonts w:hint="eastAsia" w:ascii="宋体" w:hAnsi="宋体" w:eastAsia="宋体" w:cs="宋体"/>
                <w:color w:val="000000"/>
                <w:kern w:val="0"/>
                <w:sz w:val="24"/>
              </w:rPr>
              <w:t>3台</w:t>
            </w:r>
          </w:p>
        </w:tc>
      </w:tr>
      <w:tr w14:paraId="444D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Borders>
              <w:top w:val="single" w:color="auto" w:sz="4" w:space="0"/>
              <w:left w:val="single" w:color="auto" w:sz="4" w:space="0"/>
              <w:bottom w:val="single" w:color="auto" w:sz="4" w:space="0"/>
              <w:right w:val="single" w:color="auto" w:sz="4" w:space="0"/>
            </w:tcBorders>
            <w:vAlign w:val="center"/>
          </w:tcPr>
          <w:p w14:paraId="66852A05">
            <w:pPr>
              <w:spacing w:line="400" w:lineRule="exact"/>
              <w:jc w:val="center"/>
            </w:pPr>
            <w:r>
              <w:rPr>
                <w:rFonts w:hint="eastAsia" w:ascii="宋体" w:hAnsi="宋体" w:cs="宋体"/>
                <w:sz w:val="24"/>
              </w:rPr>
              <w:t>5</w:t>
            </w:r>
          </w:p>
        </w:tc>
        <w:tc>
          <w:tcPr>
            <w:tcW w:w="1233" w:type="dxa"/>
            <w:tcBorders>
              <w:top w:val="single" w:color="auto" w:sz="4" w:space="0"/>
              <w:left w:val="single" w:color="auto" w:sz="4" w:space="0"/>
              <w:bottom w:val="single" w:color="auto" w:sz="4" w:space="0"/>
              <w:right w:val="single" w:color="auto" w:sz="4" w:space="0"/>
            </w:tcBorders>
            <w:vAlign w:val="center"/>
          </w:tcPr>
          <w:p w14:paraId="7212306E">
            <w:pPr>
              <w:widowControl/>
              <w:jc w:val="center"/>
              <w:textAlignment w:val="center"/>
            </w:pPr>
            <w:r>
              <w:rPr>
                <w:rFonts w:hint="eastAsia" w:ascii="宋体" w:hAnsi="宋体" w:eastAsia="宋体" w:cs="宋体"/>
                <w:color w:val="000000"/>
                <w:kern w:val="0"/>
                <w:sz w:val="24"/>
              </w:rPr>
              <w:t>刑释出监核验终端</w:t>
            </w:r>
          </w:p>
        </w:tc>
        <w:tc>
          <w:tcPr>
            <w:tcW w:w="6410" w:type="dxa"/>
            <w:tcBorders>
              <w:top w:val="single" w:color="auto" w:sz="4" w:space="0"/>
              <w:left w:val="single" w:color="auto" w:sz="4" w:space="0"/>
              <w:bottom w:val="single" w:color="auto" w:sz="4" w:space="0"/>
              <w:right w:val="single" w:color="auto" w:sz="4" w:space="0"/>
            </w:tcBorders>
            <w:vAlign w:val="center"/>
          </w:tcPr>
          <w:p w14:paraId="4AE46CCA">
            <w:pPr>
              <w:bidi w:val="0"/>
              <w:spacing w:beforeLines="-2147483648" w:afterLines="-2147483648" w:line="400" w:lineRule="exact"/>
              <w:ind w:firstLine="0"/>
              <w:jc w:val="left"/>
              <w:rPr>
                <w:rFonts w:hint="eastAsia" w:ascii="宋体" w:hAnsi="宋体" w:cs="宋体"/>
                <w:sz w:val="24"/>
                <w:lang w:eastAsia="zh-CN"/>
              </w:rPr>
            </w:pPr>
            <w:r>
              <w:rPr>
                <w:rFonts w:hint="eastAsia" w:ascii="宋体" w:hAnsi="宋体" w:cs="宋体" w:eastAsiaTheme="minorEastAsia"/>
                <w:kern w:val="2"/>
                <w:sz w:val="24"/>
                <w:szCs w:val="24"/>
                <w:lang w:val="en-US" w:eastAsia="zh-CN" w:bidi="ar-SA"/>
              </w:rPr>
              <w:t>1、</w:t>
            </w:r>
            <w:r>
              <w:rPr>
                <w:rFonts w:hint="eastAsia" w:ascii="宋体" w:hAnsi="宋体" w:cs="宋体"/>
                <w:sz w:val="24"/>
              </w:rPr>
              <w:t>C</w:t>
            </w:r>
            <w:r>
              <w:rPr>
                <w:rFonts w:hint="eastAsia" w:ascii="宋体" w:hAnsi="宋体" w:cs="宋体"/>
                <w:sz w:val="24"/>
                <w:lang w:val="en-US" w:eastAsia="zh-CN"/>
              </w:rPr>
              <w:t>PU</w:t>
            </w:r>
            <w:r>
              <w:rPr>
                <w:rFonts w:hint="eastAsia" w:ascii="宋体" w:hAnsi="宋体" w:cs="宋体"/>
                <w:sz w:val="24"/>
              </w:rPr>
              <w:t>:≥四核1.8GHz</w:t>
            </w:r>
            <w:r>
              <w:rPr>
                <w:rFonts w:hint="eastAsia" w:ascii="宋体" w:hAnsi="宋体" w:cs="宋体"/>
                <w:sz w:val="24"/>
                <w:lang w:eastAsia="zh-CN"/>
              </w:rPr>
              <w:t>；</w:t>
            </w:r>
          </w:p>
          <w:p w14:paraId="790E5804">
            <w:pPr>
              <w:bidi w:val="0"/>
              <w:spacing w:beforeLines="-2147483648" w:afterLines="-2147483648" w:line="400" w:lineRule="exact"/>
              <w:ind w:firstLine="0"/>
              <w:jc w:val="left"/>
              <w:rPr>
                <w:rFonts w:hint="eastAsia" w:ascii="宋体" w:hAnsi="宋体" w:cs="宋体"/>
                <w:sz w:val="24"/>
                <w:lang w:val="en-US" w:eastAsia="zh-CN"/>
              </w:rPr>
            </w:pPr>
            <w:r>
              <w:rPr>
                <w:rFonts w:hint="eastAsia" w:ascii="宋体" w:hAnsi="宋体" w:cs="宋体" w:eastAsiaTheme="minorEastAsia"/>
                <w:kern w:val="2"/>
                <w:sz w:val="24"/>
                <w:szCs w:val="24"/>
                <w:lang w:val="en-US" w:eastAsia="zh-CN" w:bidi="ar-SA"/>
              </w:rPr>
              <w:t>2、</w:t>
            </w:r>
            <w:r>
              <w:rPr>
                <w:rFonts w:hint="eastAsia" w:ascii="宋体" w:hAnsi="宋体" w:cs="宋体"/>
                <w:sz w:val="24"/>
              </w:rPr>
              <w:t>内存：≥</w:t>
            </w:r>
            <w:r>
              <w:rPr>
                <w:rFonts w:hint="eastAsia" w:ascii="宋体" w:hAnsi="宋体" w:cs="宋体"/>
                <w:sz w:val="24"/>
                <w:lang w:val="en-US" w:eastAsia="zh-CN"/>
              </w:rPr>
              <w:t>4G；</w:t>
            </w:r>
          </w:p>
          <w:p w14:paraId="5B48C418">
            <w:pPr>
              <w:bidi w:val="0"/>
              <w:spacing w:beforeLines="-2147483648" w:afterLines="-2147483648" w:line="400" w:lineRule="exact"/>
              <w:ind w:firstLine="0"/>
              <w:jc w:val="left"/>
              <w:rPr>
                <w:rFonts w:hint="eastAsia" w:ascii="宋体" w:hAnsi="宋体" w:cs="宋体"/>
                <w:sz w:val="24"/>
                <w:lang w:eastAsia="zh-CN"/>
              </w:rPr>
            </w:pPr>
            <w:r>
              <w:rPr>
                <w:rFonts w:hint="eastAsia" w:ascii="宋体" w:hAnsi="宋体" w:cs="宋体" w:eastAsiaTheme="minorEastAsia"/>
                <w:kern w:val="2"/>
                <w:sz w:val="24"/>
                <w:szCs w:val="24"/>
                <w:lang w:val="en-US" w:eastAsia="zh-CN" w:bidi="ar-SA"/>
              </w:rPr>
              <w:t>3、</w:t>
            </w:r>
            <w:r>
              <w:rPr>
                <w:rFonts w:hint="eastAsia" w:ascii="宋体" w:hAnsi="宋体" w:cs="宋体"/>
                <w:sz w:val="24"/>
                <w:lang w:val="en-US" w:eastAsia="zh-CN"/>
              </w:rPr>
              <w:t>存储：</w:t>
            </w:r>
            <w:r>
              <w:rPr>
                <w:rFonts w:hint="eastAsia" w:ascii="宋体" w:hAnsi="宋体" w:cs="宋体"/>
                <w:sz w:val="24"/>
              </w:rPr>
              <w:t>≥</w:t>
            </w:r>
            <w:r>
              <w:rPr>
                <w:rFonts w:hint="eastAsia" w:ascii="宋体" w:hAnsi="宋体" w:cs="宋体"/>
                <w:sz w:val="24"/>
                <w:lang w:val="en-US" w:eastAsia="zh-CN"/>
              </w:rPr>
              <w:t>32</w:t>
            </w:r>
            <w:r>
              <w:rPr>
                <w:rFonts w:hint="eastAsia" w:ascii="宋体" w:hAnsi="宋体" w:cs="宋体"/>
                <w:sz w:val="24"/>
              </w:rPr>
              <w:t>G</w:t>
            </w:r>
            <w:r>
              <w:rPr>
                <w:rFonts w:hint="eastAsia" w:ascii="宋体" w:hAnsi="宋体" w:cs="宋体"/>
                <w:sz w:val="24"/>
                <w:lang w:eastAsia="zh-CN"/>
              </w:rPr>
              <w:t>；</w:t>
            </w:r>
          </w:p>
          <w:p w14:paraId="3958CC46">
            <w:pPr>
              <w:bidi w:val="0"/>
              <w:spacing w:beforeLines="-2147483648" w:afterLines="-2147483648" w:line="400" w:lineRule="exact"/>
              <w:ind w:firstLine="0"/>
              <w:jc w:val="left"/>
              <w:rPr>
                <w:rFonts w:hint="eastAsia" w:ascii="宋体" w:hAnsi="宋体" w:cs="宋体" w:eastAsiaTheme="minorEastAsia"/>
                <w:sz w:val="24"/>
                <w:lang w:val="en-US" w:eastAsia="zh-CN"/>
              </w:rPr>
            </w:pPr>
            <w:r>
              <w:rPr>
                <w:rFonts w:hint="eastAsia" w:ascii="宋体" w:hAnsi="宋体" w:cs="宋体" w:eastAsiaTheme="minorEastAsia"/>
                <w:kern w:val="2"/>
                <w:sz w:val="24"/>
                <w:szCs w:val="24"/>
                <w:lang w:val="en-US" w:eastAsia="zh-CN" w:bidi="ar-SA"/>
              </w:rPr>
              <w:t>4、</w:t>
            </w:r>
            <w:r>
              <w:rPr>
                <w:rFonts w:hint="eastAsia" w:ascii="宋体" w:hAnsi="宋体" w:cs="宋体"/>
                <w:sz w:val="24"/>
              </w:rPr>
              <w:t>摄像头：≥200万像素摄像头</w:t>
            </w:r>
            <w:r>
              <w:rPr>
                <w:rFonts w:hint="eastAsia" w:ascii="宋体" w:hAnsi="宋体" w:cs="宋体"/>
                <w:sz w:val="24"/>
                <w:lang w:eastAsia="zh-CN"/>
              </w:rPr>
              <w:t>；</w:t>
            </w:r>
          </w:p>
          <w:p w14:paraId="569C7A97">
            <w:pPr>
              <w:bidi w:val="0"/>
              <w:spacing w:beforeLines="-2147483648" w:afterLines="-2147483648" w:line="400" w:lineRule="exact"/>
              <w:ind w:firstLine="0"/>
              <w:jc w:val="left"/>
              <w:rPr>
                <w:rFonts w:hint="eastAsia" w:ascii="宋体" w:hAnsi="宋体" w:cs="宋体"/>
                <w:sz w:val="24"/>
                <w:lang w:eastAsia="zh-CN"/>
              </w:rPr>
            </w:pPr>
            <w:r>
              <w:rPr>
                <w:rFonts w:hint="eastAsia" w:ascii="宋体" w:hAnsi="宋体" w:cs="宋体" w:eastAsiaTheme="minorEastAsia"/>
                <w:kern w:val="2"/>
                <w:sz w:val="24"/>
                <w:szCs w:val="24"/>
                <w:lang w:val="en-US" w:eastAsia="zh-CN" w:bidi="ar-SA"/>
              </w:rPr>
              <w:t>5、</w:t>
            </w:r>
            <w:r>
              <w:rPr>
                <w:rFonts w:hint="eastAsia" w:ascii="宋体" w:hAnsi="宋体" w:cs="宋体"/>
                <w:sz w:val="24"/>
              </w:rPr>
              <w:t>屏幕尺寸：≥15.6寸，10点电容触摸屏</w:t>
            </w:r>
            <w:r>
              <w:rPr>
                <w:rFonts w:hint="eastAsia" w:ascii="宋体" w:hAnsi="宋体" w:cs="宋体"/>
                <w:sz w:val="24"/>
                <w:lang w:eastAsia="zh-CN"/>
              </w:rPr>
              <w:t>；</w:t>
            </w:r>
          </w:p>
          <w:p w14:paraId="3BFB9D8B">
            <w:pPr>
              <w:bidi w:val="0"/>
              <w:spacing w:beforeLines="-2147483648" w:afterLines="-2147483648" w:line="400" w:lineRule="exact"/>
              <w:ind w:firstLine="0"/>
              <w:jc w:val="left"/>
              <w:rPr>
                <w:rFonts w:hint="eastAsia" w:ascii="宋体" w:hAnsi="宋体" w:cs="宋体"/>
                <w:sz w:val="24"/>
              </w:rPr>
            </w:pPr>
            <w:r>
              <w:rPr>
                <w:rFonts w:hint="eastAsia" w:ascii="宋体" w:hAnsi="宋体" w:cs="宋体" w:eastAsiaTheme="minorEastAsia"/>
                <w:kern w:val="2"/>
                <w:sz w:val="24"/>
                <w:szCs w:val="24"/>
                <w:lang w:val="en-US" w:eastAsia="zh-CN" w:bidi="ar-SA"/>
              </w:rPr>
              <w:t>6、</w:t>
            </w:r>
            <w:r>
              <w:rPr>
                <w:rFonts w:hint="eastAsia" w:ascii="宋体" w:hAnsi="宋体" w:cs="宋体"/>
                <w:sz w:val="24"/>
              </w:rPr>
              <w:t>分辨率：≥</w:t>
            </w:r>
            <w:r>
              <w:rPr>
                <w:rFonts w:hint="eastAsia" w:ascii="宋体" w:hAnsi="宋体" w:cs="宋体"/>
                <w:sz w:val="24"/>
                <w:lang w:eastAsia="zh-CN"/>
              </w:rPr>
              <w:t>（</w:t>
            </w:r>
            <w:r>
              <w:rPr>
                <w:rFonts w:hint="eastAsia" w:ascii="宋体" w:hAnsi="宋体" w:cs="宋体"/>
                <w:sz w:val="24"/>
              </w:rPr>
              <w:t>1366*768</w:t>
            </w:r>
            <w:r>
              <w:rPr>
                <w:rFonts w:hint="eastAsia" w:ascii="宋体" w:hAnsi="宋体" w:cs="宋体"/>
                <w:sz w:val="24"/>
                <w:lang w:eastAsia="zh-CN"/>
              </w:rPr>
              <w:t>）；</w:t>
            </w:r>
          </w:p>
          <w:p w14:paraId="2A1A229F">
            <w:pPr>
              <w:bidi w:val="0"/>
              <w:spacing w:beforeLines="-2147483648" w:afterLines="-2147483648" w:line="400" w:lineRule="exact"/>
              <w:ind w:firstLine="0"/>
              <w:jc w:val="left"/>
              <w:rPr>
                <w:rFonts w:hint="eastAsia" w:ascii="宋体" w:hAnsi="宋体" w:cs="宋体"/>
                <w:sz w:val="24"/>
                <w:lang w:eastAsia="zh-CN"/>
              </w:rPr>
            </w:pPr>
            <w:r>
              <w:rPr>
                <w:rFonts w:hint="eastAsia" w:ascii="宋体" w:hAnsi="宋体" w:cs="宋体" w:eastAsiaTheme="minorEastAsia"/>
                <w:kern w:val="2"/>
                <w:sz w:val="24"/>
                <w:szCs w:val="24"/>
                <w:lang w:val="en-US" w:eastAsia="zh-CN" w:bidi="ar-SA"/>
              </w:rPr>
              <w:t>7、</w:t>
            </w:r>
            <w:r>
              <w:rPr>
                <w:rFonts w:hint="eastAsia" w:ascii="宋体" w:hAnsi="宋体" w:cs="宋体"/>
                <w:sz w:val="24"/>
              </w:rPr>
              <w:t>透光率：≥85%</w:t>
            </w:r>
            <w:r>
              <w:rPr>
                <w:rFonts w:hint="eastAsia" w:ascii="宋体" w:hAnsi="宋体" w:cs="宋体"/>
                <w:sz w:val="24"/>
                <w:lang w:eastAsia="zh-CN"/>
              </w:rPr>
              <w:t>；</w:t>
            </w:r>
          </w:p>
          <w:p w14:paraId="6709F2B7">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eastAsiaTheme="minorEastAsia"/>
                <w:kern w:val="2"/>
                <w:sz w:val="24"/>
                <w:szCs w:val="24"/>
                <w:lang w:val="en-US" w:eastAsia="zh-CN" w:bidi="ar-SA"/>
              </w:rPr>
              <w:t>8、</w:t>
            </w:r>
            <w:r>
              <w:rPr>
                <w:rFonts w:hint="eastAsia" w:ascii="宋体" w:hAnsi="宋体" w:cs="宋体"/>
                <w:sz w:val="24"/>
              </w:rPr>
              <w:t>色数：16.7M</w:t>
            </w:r>
            <w:r>
              <w:rPr>
                <w:rFonts w:hint="eastAsia" w:ascii="宋体" w:hAnsi="宋体" w:cs="宋体"/>
                <w:sz w:val="24"/>
                <w:lang w:eastAsia="zh-CN"/>
              </w:rPr>
              <w:t>；</w:t>
            </w:r>
          </w:p>
          <w:p w14:paraId="71D19E78">
            <w:pPr>
              <w:numPr>
                <w:ilvl w:val="-1"/>
                <w:numId w:val="0"/>
              </w:numPr>
              <w:spacing w:beforeLines="-2147483648" w:afterLines="-2147483648" w:line="400" w:lineRule="exact"/>
              <w:jc w:val="left"/>
              <w:rPr>
                <w:rFonts w:hint="eastAsia" w:ascii="宋体" w:hAnsi="宋体" w:cs="宋体" w:eastAsiaTheme="minorEastAsia"/>
                <w:sz w:val="24"/>
              </w:rPr>
            </w:pPr>
            <w:r>
              <w:rPr>
                <w:rFonts w:hint="eastAsia" w:ascii="宋体" w:hAnsi="宋体" w:cs="宋体" w:eastAsiaTheme="minorEastAsia"/>
                <w:kern w:val="2"/>
                <w:sz w:val="24"/>
                <w:szCs w:val="24"/>
                <w:lang w:val="en-US" w:eastAsia="zh-CN" w:bidi="ar-SA"/>
              </w:rPr>
              <w:t>9、</w:t>
            </w:r>
            <w:r>
              <w:rPr>
                <w:rFonts w:hint="eastAsia" w:ascii="宋体" w:hAnsi="宋体" w:cs="宋体"/>
                <w:sz w:val="24"/>
              </w:rPr>
              <w:t>亮度：≥250cd/㎡</w:t>
            </w:r>
            <w:r>
              <w:rPr>
                <w:rFonts w:hint="eastAsia" w:ascii="宋体" w:hAnsi="宋体" w:cs="宋体"/>
                <w:sz w:val="24"/>
                <w:lang w:eastAsia="zh-CN"/>
              </w:rPr>
              <w:t>；</w:t>
            </w:r>
          </w:p>
          <w:p w14:paraId="39E367DA">
            <w:pPr>
              <w:numPr>
                <w:ilvl w:val="-1"/>
                <w:numId w:val="0"/>
              </w:numPr>
              <w:spacing w:beforeLines="-2147483648" w:afterLines="-2147483648" w:line="400" w:lineRule="exact"/>
              <w:jc w:val="left"/>
              <w:rPr>
                <w:rFonts w:hint="eastAsia" w:ascii="宋体" w:hAnsi="宋体" w:eastAsia="宋体" w:cs="宋体"/>
                <w:color w:val="auto"/>
                <w:sz w:val="24"/>
                <w:highlight w:val="none"/>
                <w:lang w:eastAsia="zh-CN"/>
              </w:rPr>
            </w:pPr>
            <w:r>
              <w:rPr>
                <w:rFonts w:hint="eastAsia" w:ascii="宋体" w:hAnsi="宋体" w:cs="宋体" w:eastAsiaTheme="minorEastAsia"/>
                <w:kern w:val="2"/>
                <w:sz w:val="24"/>
                <w:szCs w:val="24"/>
                <w:lang w:val="en-US" w:eastAsia="zh-CN" w:bidi="ar-SA"/>
              </w:rPr>
              <w:t>10、</w:t>
            </w:r>
            <w:r>
              <w:rPr>
                <w:rFonts w:hint="eastAsia" w:ascii="宋体" w:hAnsi="宋体" w:cs="宋体" w:eastAsiaTheme="minorEastAsia"/>
                <w:sz w:val="24"/>
              </w:rPr>
              <w:t>APP功能：支持人脸生物识别，支持RGB活体检测抵御面具、视频、照片等防攻击识别；核验信息展示，支持掌静脉识别和人脸双重识别以及根据</w:t>
            </w:r>
            <w:r>
              <w:rPr>
                <w:rFonts w:hint="eastAsia" w:ascii="宋体" w:hAnsi="宋体" w:cs="宋体" w:eastAsiaTheme="minorEastAsia"/>
                <w:sz w:val="24"/>
                <w:szCs w:val="24"/>
                <w:lang w:val="en-US" w:eastAsia="zh-CN"/>
              </w:rPr>
              <w:t>采购人</w:t>
            </w:r>
            <w:r>
              <w:rPr>
                <w:rFonts w:hint="eastAsia" w:ascii="宋体" w:hAnsi="宋体" w:cs="宋体" w:eastAsiaTheme="minorEastAsia"/>
                <w:sz w:val="24"/>
              </w:rPr>
              <w:t>需求完善刑释出监核验终端功能。</w:t>
            </w:r>
          </w:p>
        </w:tc>
        <w:tc>
          <w:tcPr>
            <w:tcW w:w="783" w:type="dxa"/>
            <w:tcBorders>
              <w:top w:val="single" w:color="auto" w:sz="4" w:space="0"/>
              <w:left w:val="single" w:color="auto" w:sz="4" w:space="0"/>
              <w:bottom w:val="single" w:color="auto" w:sz="4" w:space="0"/>
              <w:right w:val="single" w:color="auto" w:sz="4" w:space="0"/>
            </w:tcBorders>
            <w:vAlign w:val="center"/>
          </w:tcPr>
          <w:p w14:paraId="0B8BE2A0">
            <w:pPr>
              <w:widowControl/>
              <w:jc w:val="center"/>
              <w:textAlignment w:val="center"/>
            </w:pPr>
            <w:r>
              <w:rPr>
                <w:rFonts w:hint="eastAsia" w:ascii="宋体" w:hAnsi="宋体" w:eastAsia="宋体" w:cs="宋体"/>
                <w:color w:val="000000"/>
                <w:kern w:val="0"/>
                <w:sz w:val="24"/>
              </w:rPr>
              <w:t>2台</w:t>
            </w:r>
          </w:p>
        </w:tc>
      </w:tr>
      <w:tr w14:paraId="599B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5FB16A2C">
            <w:pPr>
              <w:spacing w:line="400" w:lineRule="exact"/>
              <w:jc w:val="center"/>
            </w:pPr>
            <w:r>
              <w:rPr>
                <w:rFonts w:hint="eastAsia" w:ascii="宋体" w:hAnsi="宋体" w:cs="宋体"/>
                <w:sz w:val="24"/>
              </w:rPr>
              <w:t>6</w:t>
            </w:r>
          </w:p>
        </w:tc>
        <w:tc>
          <w:tcPr>
            <w:tcW w:w="1233" w:type="dxa"/>
            <w:tcBorders>
              <w:top w:val="single" w:color="auto" w:sz="4" w:space="0"/>
              <w:left w:val="single" w:color="auto" w:sz="4" w:space="0"/>
              <w:bottom w:val="single" w:color="auto" w:sz="4" w:space="0"/>
              <w:right w:val="single" w:color="auto" w:sz="4" w:space="0"/>
            </w:tcBorders>
            <w:vAlign w:val="center"/>
          </w:tcPr>
          <w:p w14:paraId="2E83B828">
            <w:pPr>
              <w:widowControl/>
              <w:jc w:val="center"/>
              <w:textAlignment w:val="center"/>
            </w:pPr>
            <w:r>
              <w:rPr>
                <w:rFonts w:hint="eastAsia" w:ascii="宋体" w:hAnsi="宋体" w:eastAsia="宋体" w:cs="宋体"/>
                <w:color w:val="000000"/>
                <w:kern w:val="0"/>
                <w:sz w:val="24"/>
              </w:rPr>
              <w:t>桌面掌静脉采集器</w:t>
            </w:r>
          </w:p>
        </w:tc>
        <w:tc>
          <w:tcPr>
            <w:tcW w:w="6410" w:type="dxa"/>
            <w:tcBorders>
              <w:top w:val="single" w:color="auto" w:sz="4" w:space="0"/>
              <w:left w:val="single" w:color="auto" w:sz="4" w:space="0"/>
              <w:bottom w:val="single" w:color="auto" w:sz="4" w:space="0"/>
              <w:right w:val="single" w:color="auto" w:sz="4" w:space="0"/>
            </w:tcBorders>
            <w:vAlign w:val="center"/>
          </w:tcPr>
          <w:p w14:paraId="75A9F4D7">
            <w:pPr>
              <w:spacing w:line="400" w:lineRule="exact"/>
              <w:jc w:val="left"/>
              <w:rPr>
                <w:rFonts w:ascii="宋体" w:hAnsi="宋体" w:eastAsia="宋体" w:cs="宋体"/>
                <w:color w:val="auto"/>
                <w:sz w:val="24"/>
              </w:rPr>
            </w:pPr>
            <w:r>
              <w:rPr>
                <w:rFonts w:hint="eastAsia" w:ascii="宋体" w:hAnsi="宋体" w:eastAsia="宋体" w:cs="宋体"/>
                <w:color w:val="auto"/>
                <w:sz w:val="24"/>
              </w:rPr>
              <w:t>识别精度：误拒率为0.01%时，误受率＜0.0001%；</w:t>
            </w:r>
          </w:p>
          <w:p w14:paraId="738E892B">
            <w:pPr>
              <w:spacing w:line="400" w:lineRule="exact"/>
              <w:jc w:val="left"/>
              <w:rPr>
                <w:rFonts w:ascii="宋体" w:hAnsi="宋体" w:eastAsia="宋体" w:cs="宋体"/>
                <w:color w:val="auto"/>
                <w:sz w:val="24"/>
              </w:rPr>
            </w:pPr>
            <w:r>
              <w:rPr>
                <w:rFonts w:hint="eastAsia" w:ascii="宋体" w:hAnsi="宋体" w:eastAsia="宋体" w:cs="宋体"/>
                <w:color w:val="auto"/>
                <w:sz w:val="24"/>
              </w:rPr>
              <w:t>识别速度：（1:N，N&lt;2000）≤1秒；</w:t>
            </w:r>
          </w:p>
          <w:p w14:paraId="04B2D790">
            <w:pPr>
              <w:rPr>
                <w:rFonts w:ascii="宋体" w:hAnsi="宋体" w:eastAsia="宋体" w:cs="宋体"/>
                <w:color w:val="auto"/>
                <w:sz w:val="24"/>
              </w:rPr>
            </w:pPr>
            <w:r>
              <w:rPr>
                <w:rFonts w:hint="eastAsia" w:ascii="宋体" w:hAnsi="宋体" w:eastAsia="宋体" w:cs="宋体"/>
                <w:color w:val="auto"/>
                <w:sz w:val="24"/>
              </w:rPr>
              <w:t>数据接口：USB2.0。</w:t>
            </w:r>
          </w:p>
        </w:tc>
        <w:tc>
          <w:tcPr>
            <w:tcW w:w="783" w:type="dxa"/>
            <w:tcBorders>
              <w:top w:val="single" w:color="auto" w:sz="4" w:space="0"/>
              <w:left w:val="single" w:color="auto" w:sz="4" w:space="0"/>
              <w:bottom w:val="single" w:color="auto" w:sz="4" w:space="0"/>
              <w:right w:val="single" w:color="auto" w:sz="4" w:space="0"/>
            </w:tcBorders>
            <w:vAlign w:val="center"/>
          </w:tcPr>
          <w:p w14:paraId="4AA8E46A">
            <w:pPr>
              <w:widowControl/>
              <w:jc w:val="center"/>
              <w:textAlignment w:val="center"/>
            </w:pPr>
            <w:r>
              <w:rPr>
                <w:rFonts w:hint="eastAsia" w:ascii="宋体" w:hAnsi="宋体" w:eastAsia="宋体" w:cs="宋体"/>
                <w:color w:val="000000"/>
                <w:kern w:val="0"/>
                <w:sz w:val="24"/>
              </w:rPr>
              <w:t>1台</w:t>
            </w:r>
          </w:p>
        </w:tc>
      </w:tr>
      <w:tr w14:paraId="536B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Borders>
              <w:top w:val="single" w:color="auto" w:sz="4" w:space="0"/>
              <w:left w:val="single" w:color="auto" w:sz="4" w:space="0"/>
              <w:bottom w:val="single" w:color="auto" w:sz="4" w:space="0"/>
              <w:right w:val="single" w:color="auto" w:sz="4" w:space="0"/>
            </w:tcBorders>
            <w:vAlign w:val="center"/>
          </w:tcPr>
          <w:p w14:paraId="3125C6F2">
            <w:pPr>
              <w:spacing w:line="400" w:lineRule="exact"/>
              <w:jc w:val="center"/>
            </w:pPr>
            <w:r>
              <w:rPr>
                <w:rFonts w:hint="eastAsia" w:ascii="宋体" w:hAnsi="宋体" w:cs="宋体"/>
                <w:sz w:val="24"/>
              </w:rPr>
              <w:t>7</w:t>
            </w:r>
          </w:p>
        </w:tc>
        <w:tc>
          <w:tcPr>
            <w:tcW w:w="1233" w:type="dxa"/>
            <w:tcBorders>
              <w:top w:val="single" w:color="auto" w:sz="4" w:space="0"/>
              <w:left w:val="single" w:color="auto" w:sz="4" w:space="0"/>
              <w:bottom w:val="single" w:color="auto" w:sz="4" w:space="0"/>
              <w:right w:val="single" w:color="auto" w:sz="4" w:space="0"/>
            </w:tcBorders>
            <w:vAlign w:val="center"/>
          </w:tcPr>
          <w:p w14:paraId="22185BE1">
            <w:pPr>
              <w:widowControl/>
              <w:jc w:val="center"/>
              <w:textAlignment w:val="center"/>
            </w:pPr>
            <w:r>
              <w:rPr>
                <w:rFonts w:hint="eastAsia" w:ascii="宋体" w:hAnsi="宋体" w:eastAsia="宋体" w:cs="宋体"/>
                <w:color w:val="000000"/>
                <w:kern w:val="0"/>
                <w:sz w:val="24"/>
              </w:rPr>
              <w:t>车底扫描系统</w:t>
            </w:r>
          </w:p>
        </w:tc>
        <w:tc>
          <w:tcPr>
            <w:tcW w:w="6410" w:type="dxa"/>
            <w:tcBorders>
              <w:top w:val="single" w:color="auto" w:sz="4" w:space="0"/>
              <w:left w:val="single" w:color="auto" w:sz="4" w:space="0"/>
              <w:bottom w:val="single" w:color="auto" w:sz="4" w:space="0"/>
              <w:right w:val="single" w:color="auto" w:sz="4" w:space="0"/>
            </w:tcBorders>
            <w:vAlign w:val="center"/>
          </w:tcPr>
          <w:p w14:paraId="2077DEF3">
            <w:pPr>
              <w:bidi w:val="0"/>
              <w:spacing w:beforeLines="-2147483648" w:afterLines="-2147483648" w:line="400" w:lineRule="exact"/>
              <w:ind w:firstLine="0"/>
              <w:jc w:val="left"/>
              <w:rPr>
                <w:rFonts w:hint="eastAsia" w:ascii="宋体" w:hAnsi="宋体" w:cs="宋体"/>
                <w:sz w:val="24"/>
                <w:lang w:eastAsia="zh-CN"/>
              </w:rPr>
            </w:pPr>
            <w:r>
              <w:rPr>
                <w:rFonts w:hint="eastAsia" w:ascii="宋体" w:hAnsi="宋体" w:cs="宋体" w:eastAsiaTheme="minorEastAsia"/>
                <w:kern w:val="2"/>
                <w:sz w:val="24"/>
                <w:szCs w:val="24"/>
                <w:lang w:val="en-US" w:eastAsia="zh-CN" w:bidi="ar-SA"/>
              </w:rPr>
              <w:t>1、</w:t>
            </w:r>
            <w:r>
              <w:rPr>
                <w:rFonts w:hint="eastAsia" w:ascii="宋体" w:hAnsi="宋体" w:cs="宋体"/>
                <w:sz w:val="24"/>
              </w:rPr>
              <w:t>系统包含：≥</w:t>
            </w: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rPr>
              <w:t>×车底扫描仪、</w:t>
            </w:r>
            <w:r>
              <w:rPr>
                <w:rFonts w:hint="eastAsia" w:ascii="宋体" w:hAnsi="宋体" w:cs="宋体"/>
                <w:sz w:val="24"/>
                <w:lang w:val="en-US" w:eastAsia="zh-CN"/>
              </w:rPr>
              <w:t>1</w:t>
            </w:r>
            <w:r>
              <w:rPr>
                <w:rFonts w:hint="eastAsia" w:ascii="宋体" w:hAnsi="宋体" w:cs="宋体"/>
                <w:sz w:val="24"/>
              </w:rPr>
              <w:t>×车牌识别摄像机、1×车底扫描系统控制箱、1×IO控制器及车辆检测器、1×系统机柜、1×系统主机、1×显示器、1×车底安全检查系统软件和配套线缆</w:t>
            </w:r>
            <w:r>
              <w:rPr>
                <w:rFonts w:hint="eastAsia" w:ascii="宋体" w:hAnsi="宋体" w:cs="宋体"/>
                <w:sz w:val="24"/>
                <w:lang w:eastAsia="zh-CN"/>
              </w:rPr>
              <w:t>）；</w:t>
            </w:r>
          </w:p>
          <w:p w14:paraId="4745635D">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eastAsiaTheme="minorEastAsia"/>
                <w:kern w:val="2"/>
                <w:sz w:val="24"/>
                <w:szCs w:val="24"/>
                <w:lang w:val="en-US" w:eastAsia="zh-CN" w:bidi="ar-SA"/>
              </w:rPr>
              <w:t>2、</w:t>
            </w:r>
            <w:r>
              <w:rPr>
                <w:rFonts w:hint="eastAsia" w:ascii="宋体" w:hAnsi="宋体" w:cs="宋体"/>
                <w:sz w:val="24"/>
              </w:rPr>
              <w:t>成像方式：线阵CCD扫描技术动态方式</w:t>
            </w:r>
            <w:r>
              <w:rPr>
                <w:rFonts w:hint="eastAsia" w:ascii="宋体" w:hAnsi="宋体" w:cs="宋体"/>
                <w:sz w:val="24"/>
                <w:lang w:eastAsia="zh-CN"/>
              </w:rPr>
              <w:t>；</w:t>
            </w:r>
          </w:p>
          <w:p w14:paraId="5691C8CF">
            <w:pPr>
              <w:bidi w:val="0"/>
              <w:spacing w:beforeLines="-2147483648" w:afterLines="-2147483648" w:line="400" w:lineRule="exact"/>
              <w:ind w:firstLine="0"/>
              <w:jc w:val="left"/>
              <w:rPr>
                <w:rFonts w:hint="eastAsia" w:ascii="宋体" w:hAnsi="宋体" w:cs="宋体"/>
                <w:sz w:val="24"/>
                <w:lang w:eastAsia="zh-CN"/>
              </w:rPr>
            </w:pPr>
            <w:r>
              <w:rPr>
                <w:rFonts w:hint="eastAsia" w:ascii="宋体" w:hAnsi="宋体" w:cs="宋体" w:eastAsiaTheme="minorEastAsia"/>
                <w:kern w:val="2"/>
                <w:sz w:val="24"/>
                <w:szCs w:val="24"/>
                <w:lang w:val="en-US" w:eastAsia="zh-CN" w:bidi="ar-SA"/>
              </w:rPr>
              <w:t>3、</w:t>
            </w:r>
            <w:r>
              <w:rPr>
                <w:rFonts w:hint="eastAsia" w:ascii="宋体" w:hAnsi="宋体" w:cs="宋体"/>
                <w:sz w:val="24"/>
              </w:rPr>
              <w:t>触发方式：具有线圈触发、视频检测、手动触发三种</w:t>
            </w:r>
            <w:r>
              <w:rPr>
                <w:rFonts w:hint="eastAsia" w:ascii="宋体" w:hAnsi="宋体" w:cs="宋体"/>
                <w:sz w:val="24"/>
                <w:lang w:eastAsia="zh-CN"/>
              </w:rPr>
              <w:t>；</w:t>
            </w:r>
          </w:p>
          <w:p w14:paraId="43BBBEBC">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eastAsiaTheme="minorEastAsia"/>
                <w:kern w:val="2"/>
                <w:sz w:val="24"/>
                <w:szCs w:val="24"/>
                <w:lang w:val="en-US" w:eastAsia="zh-CN" w:bidi="ar-SA"/>
              </w:rPr>
              <w:t>4、</w:t>
            </w:r>
            <w:r>
              <w:rPr>
                <w:rFonts w:hint="eastAsia" w:ascii="宋体" w:hAnsi="宋体" w:cs="宋体"/>
                <w:sz w:val="24"/>
              </w:rPr>
              <w:t>存储空间：车底图像存储不少于10</w:t>
            </w:r>
            <w:r>
              <w:rPr>
                <w:rFonts w:hint="eastAsia" w:ascii="宋体" w:hAnsi="宋体" w:cs="宋体"/>
                <w:sz w:val="24"/>
                <w:lang w:val="en-US" w:eastAsia="zh-CN"/>
              </w:rPr>
              <w:t>0</w:t>
            </w:r>
            <w:r>
              <w:rPr>
                <w:rFonts w:hint="eastAsia" w:ascii="宋体" w:hAnsi="宋体" w:cs="宋体"/>
                <w:sz w:val="24"/>
              </w:rPr>
              <w:t>万张，并具有自动循环覆盖功能</w:t>
            </w:r>
            <w:r>
              <w:rPr>
                <w:rFonts w:hint="eastAsia" w:ascii="宋体" w:hAnsi="宋体" w:cs="宋体"/>
                <w:sz w:val="24"/>
                <w:lang w:eastAsia="zh-CN"/>
              </w:rPr>
              <w:t>；</w:t>
            </w:r>
          </w:p>
          <w:p w14:paraId="178DF45E">
            <w:pPr>
              <w:bidi w:val="0"/>
              <w:spacing w:beforeLines="-2147483648" w:afterLines="-2147483648" w:line="400" w:lineRule="exact"/>
              <w:ind w:firstLine="0"/>
              <w:jc w:val="left"/>
              <w:rPr>
                <w:rFonts w:hint="eastAsia" w:ascii="宋体" w:hAnsi="宋体" w:cs="宋体"/>
                <w:sz w:val="24"/>
                <w:lang w:eastAsia="zh-CN"/>
              </w:rPr>
            </w:pPr>
            <w:r>
              <w:rPr>
                <w:rFonts w:hint="eastAsia" w:ascii="宋体" w:hAnsi="宋体" w:cs="宋体" w:eastAsiaTheme="minorEastAsia"/>
                <w:kern w:val="2"/>
                <w:sz w:val="24"/>
                <w:szCs w:val="24"/>
                <w:lang w:val="en-US" w:eastAsia="zh-CN" w:bidi="ar-SA"/>
              </w:rPr>
              <w:t>5、</w:t>
            </w:r>
            <w:r>
              <w:rPr>
                <w:rFonts w:hint="eastAsia" w:ascii="宋体" w:hAnsi="宋体" w:cs="宋体"/>
                <w:sz w:val="24"/>
              </w:rPr>
              <w:t>模式设置：可设置长车模式和普通模式</w:t>
            </w:r>
            <w:r>
              <w:rPr>
                <w:rFonts w:hint="eastAsia" w:ascii="宋体" w:hAnsi="宋体" w:cs="宋体"/>
                <w:sz w:val="24"/>
                <w:lang w:eastAsia="zh-CN"/>
              </w:rPr>
              <w:t>；</w:t>
            </w:r>
          </w:p>
          <w:p w14:paraId="445E1D4B">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eastAsiaTheme="minorEastAsia"/>
                <w:kern w:val="2"/>
                <w:sz w:val="24"/>
                <w:szCs w:val="24"/>
                <w:lang w:val="en-US" w:eastAsia="zh-CN" w:bidi="ar-SA"/>
              </w:rPr>
              <w:t>6、</w:t>
            </w:r>
            <w:r>
              <w:rPr>
                <w:rFonts w:hint="eastAsia" w:ascii="宋体" w:hAnsi="宋体" w:cs="宋体"/>
                <w:sz w:val="24"/>
              </w:rPr>
              <w:t>扫描信息：支持扫描车底，可识别车辆行驶方向，系统记录车辆数量、车牌号、时间信息</w:t>
            </w:r>
            <w:r>
              <w:rPr>
                <w:rFonts w:hint="eastAsia" w:ascii="宋体" w:hAnsi="宋体" w:cs="宋体"/>
                <w:sz w:val="24"/>
                <w:lang w:eastAsia="zh-CN"/>
              </w:rPr>
              <w:t>；</w:t>
            </w:r>
          </w:p>
          <w:p w14:paraId="4A5DA387">
            <w:pPr>
              <w:bidi w:val="0"/>
              <w:spacing w:beforeLines="-2147483648" w:afterLines="-2147483648" w:line="400" w:lineRule="exact"/>
              <w:ind w:firstLine="0"/>
              <w:jc w:val="left"/>
              <w:rPr>
                <w:rFonts w:hint="eastAsia" w:ascii="宋体" w:hAnsi="宋体" w:cs="宋体"/>
                <w:sz w:val="24"/>
                <w:lang w:eastAsia="zh-CN"/>
              </w:rPr>
            </w:pPr>
            <w:r>
              <w:rPr>
                <w:rFonts w:hint="eastAsia" w:ascii="宋体" w:hAnsi="宋体" w:cs="宋体" w:eastAsiaTheme="minorEastAsia"/>
                <w:kern w:val="2"/>
                <w:sz w:val="24"/>
                <w:szCs w:val="24"/>
                <w:lang w:val="en-US" w:eastAsia="zh-CN" w:bidi="ar-SA"/>
              </w:rPr>
              <w:t>7、</w:t>
            </w:r>
            <w:r>
              <w:rPr>
                <w:rFonts w:hint="eastAsia" w:ascii="宋体" w:hAnsi="宋体" w:cs="宋体"/>
                <w:sz w:val="24"/>
              </w:rPr>
              <w:t>图像存储格式：标准BMP或JPEG</w:t>
            </w:r>
            <w:r>
              <w:rPr>
                <w:rFonts w:hint="eastAsia" w:ascii="宋体" w:hAnsi="宋体" w:cs="宋体"/>
                <w:sz w:val="24"/>
                <w:lang w:eastAsia="zh-CN"/>
              </w:rPr>
              <w:t>；</w:t>
            </w:r>
          </w:p>
          <w:p w14:paraId="477E80B3">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eastAsiaTheme="minorEastAsia"/>
                <w:kern w:val="2"/>
                <w:sz w:val="24"/>
                <w:szCs w:val="24"/>
                <w:lang w:val="en-US" w:eastAsia="zh-CN" w:bidi="ar-SA"/>
              </w:rPr>
              <w:t>8、</w:t>
            </w:r>
            <w:r>
              <w:rPr>
                <w:rFonts w:hint="eastAsia" w:ascii="宋体" w:hAnsi="宋体" w:cs="宋体"/>
                <w:sz w:val="24"/>
              </w:rPr>
              <w:t>高速自动扫描功能：当车辆以1-80km/h的速度通过时，系统车底图像采集组件能自动扫描并显示清晰完整的车辆底盘图像</w:t>
            </w:r>
            <w:r>
              <w:rPr>
                <w:rFonts w:hint="eastAsia" w:ascii="宋体" w:hAnsi="宋体" w:cs="宋体"/>
                <w:sz w:val="24"/>
                <w:lang w:eastAsia="zh-CN"/>
              </w:rPr>
              <w:t>；</w:t>
            </w:r>
          </w:p>
          <w:p w14:paraId="028C096D">
            <w:pPr>
              <w:bidi w:val="0"/>
              <w:spacing w:beforeLines="-2147483648" w:afterLines="-2147483648" w:line="400" w:lineRule="exact"/>
              <w:ind w:firstLine="0"/>
              <w:jc w:val="left"/>
              <w:rPr>
                <w:rFonts w:hint="eastAsia" w:ascii="宋体" w:hAnsi="宋体" w:cs="宋体"/>
                <w:sz w:val="24"/>
                <w:lang w:eastAsia="zh-CN"/>
              </w:rPr>
            </w:pPr>
            <w:r>
              <w:rPr>
                <w:rFonts w:hint="eastAsia" w:ascii="宋体" w:hAnsi="宋体" w:cs="宋体" w:eastAsiaTheme="minorEastAsia"/>
                <w:kern w:val="2"/>
                <w:sz w:val="24"/>
                <w:szCs w:val="24"/>
                <w:lang w:val="en-US" w:eastAsia="zh-CN" w:bidi="ar-SA"/>
              </w:rPr>
              <w:t>9、</w:t>
            </w:r>
            <w:r>
              <w:rPr>
                <w:rFonts w:hint="eastAsia" w:ascii="宋体" w:hAnsi="宋体" w:cs="宋体"/>
                <w:sz w:val="24"/>
              </w:rPr>
              <w:t>视场角度：≥178°</w:t>
            </w:r>
            <w:r>
              <w:rPr>
                <w:rFonts w:hint="eastAsia" w:ascii="宋体" w:hAnsi="宋体" w:cs="宋体"/>
                <w:sz w:val="24"/>
                <w:lang w:eastAsia="zh-CN"/>
              </w:rPr>
              <w:t>；</w:t>
            </w:r>
          </w:p>
          <w:p w14:paraId="74ACDEEA">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eastAsiaTheme="minorEastAsia"/>
                <w:kern w:val="2"/>
                <w:sz w:val="24"/>
                <w:szCs w:val="24"/>
                <w:lang w:val="en-US" w:eastAsia="zh-CN" w:bidi="ar-SA"/>
              </w:rPr>
              <w:t>10、</w:t>
            </w:r>
            <w:r>
              <w:rPr>
                <w:rFonts w:hint="eastAsia" w:ascii="宋体" w:hAnsi="宋体" w:cs="宋体"/>
                <w:sz w:val="24"/>
              </w:rPr>
              <w:t>状态检测：车辆非匀速或者静止通过车底扫描仪时，车底图象显示完整，并可检测车辆运动与停止的状态</w:t>
            </w:r>
            <w:r>
              <w:rPr>
                <w:rFonts w:hint="eastAsia" w:ascii="宋体" w:hAnsi="宋体" w:cs="宋体"/>
                <w:sz w:val="24"/>
                <w:lang w:eastAsia="zh-CN"/>
              </w:rPr>
              <w:t>；</w:t>
            </w:r>
          </w:p>
          <w:p w14:paraId="7C4D1405">
            <w:pPr>
              <w:bidi w:val="0"/>
              <w:spacing w:beforeLines="-2147483648" w:afterLines="-2147483648" w:line="400" w:lineRule="exact"/>
              <w:ind w:firstLine="0"/>
              <w:jc w:val="left"/>
              <w:rPr>
                <w:rFonts w:hint="eastAsia" w:ascii="宋体" w:hAnsi="宋体" w:cs="宋体"/>
                <w:sz w:val="24"/>
                <w:lang w:eastAsia="zh-CN"/>
              </w:rPr>
            </w:pPr>
            <w:r>
              <w:rPr>
                <w:rFonts w:hint="eastAsia" w:ascii="宋体" w:hAnsi="宋体" w:cs="宋体" w:eastAsiaTheme="minorEastAsia"/>
                <w:kern w:val="2"/>
                <w:sz w:val="24"/>
                <w:szCs w:val="24"/>
                <w:lang w:val="en-US" w:eastAsia="zh-CN" w:bidi="ar-SA"/>
              </w:rPr>
              <w:t>11、</w:t>
            </w:r>
            <w:r>
              <w:rPr>
                <w:rFonts w:hint="eastAsia" w:ascii="宋体" w:hAnsi="宋体" w:cs="宋体"/>
                <w:sz w:val="24"/>
              </w:rPr>
              <w:t>成像显示时间：≤1秒</w:t>
            </w:r>
            <w:r>
              <w:rPr>
                <w:rFonts w:hint="eastAsia" w:ascii="宋体" w:hAnsi="宋体" w:cs="宋体"/>
                <w:sz w:val="24"/>
                <w:lang w:eastAsia="zh-CN"/>
              </w:rPr>
              <w:t>；</w:t>
            </w:r>
          </w:p>
          <w:p w14:paraId="04B3C281">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eastAsiaTheme="minorEastAsia"/>
                <w:kern w:val="2"/>
                <w:sz w:val="24"/>
                <w:szCs w:val="24"/>
                <w:lang w:val="en-US" w:eastAsia="zh-CN" w:bidi="ar-SA"/>
              </w:rPr>
              <w:t>12、</w:t>
            </w:r>
            <w:r>
              <w:rPr>
                <w:rFonts w:hint="eastAsia" w:ascii="宋体" w:hAnsi="宋体" w:cs="宋体"/>
                <w:sz w:val="24"/>
              </w:rPr>
              <w:t>车底分辨率：&gt;</w:t>
            </w:r>
            <w:r>
              <w:rPr>
                <w:rFonts w:hint="eastAsia" w:ascii="宋体" w:hAnsi="宋体" w:cs="宋体"/>
                <w:sz w:val="24"/>
                <w:lang w:eastAsia="zh-CN"/>
              </w:rPr>
              <w:t>（</w:t>
            </w:r>
            <w:r>
              <w:rPr>
                <w:rFonts w:hint="eastAsia" w:ascii="宋体" w:hAnsi="宋体" w:cs="宋体"/>
                <w:sz w:val="24"/>
              </w:rPr>
              <w:t>12000×8192</w:t>
            </w:r>
            <w:r>
              <w:rPr>
                <w:rFonts w:hint="eastAsia" w:ascii="宋体" w:hAnsi="宋体" w:cs="宋体"/>
                <w:sz w:val="24"/>
                <w:lang w:eastAsia="zh-CN"/>
              </w:rPr>
              <w:t>）；</w:t>
            </w:r>
          </w:p>
          <w:p w14:paraId="12B34A26">
            <w:pPr>
              <w:bidi w:val="0"/>
              <w:spacing w:beforeLines="-2147483648" w:afterLines="-2147483648" w:line="400" w:lineRule="exact"/>
              <w:ind w:firstLine="0"/>
              <w:jc w:val="left"/>
              <w:rPr>
                <w:rFonts w:hint="eastAsia" w:ascii="宋体" w:hAnsi="宋体" w:cs="宋体"/>
                <w:sz w:val="24"/>
                <w:lang w:eastAsia="zh-CN"/>
              </w:rPr>
            </w:pPr>
            <w:r>
              <w:rPr>
                <w:rFonts w:hint="eastAsia" w:ascii="宋体" w:hAnsi="宋体" w:cs="宋体"/>
                <w:sz w:val="24"/>
                <w:lang w:val="en-US" w:eastAsia="zh-CN"/>
              </w:rPr>
              <w:t>13、</w:t>
            </w:r>
            <w:r>
              <w:rPr>
                <w:rFonts w:hint="eastAsia" w:ascii="宋体" w:hAnsi="宋体" w:cs="宋体"/>
                <w:sz w:val="24"/>
              </w:rPr>
              <w:t>防护等级：车底扫描装置的外壳防护等级符合IP68等级规定</w:t>
            </w:r>
            <w:r>
              <w:rPr>
                <w:rFonts w:hint="eastAsia" w:ascii="宋体" w:hAnsi="宋体" w:cs="宋体"/>
                <w:sz w:val="24"/>
                <w:lang w:eastAsia="zh-CN"/>
              </w:rPr>
              <w:t>；</w:t>
            </w:r>
          </w:p>
          <w:p w14:paraId="39528695">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sz w:val="24"/>
                <w:lang w:val="en-US" w:eastAsia="zh-CN"/>
              </w:rPr>
              <w:t>14、</w:t>
            </w:r>
            <w:r>
              <w:rPr>
                <w:rFonts w:hint="eastAsia" w:ascii="宋体" w:hAnsi="宋体" w:cs="宋体"/>
                <w:sz w:val="24"/>
              </w:rPr>
              <w:t>图像局部放大镜倍数：≥16倍(无失真放大)</w:t>
            </w:r>
            <w:r>
              <w:rPr>
                <w:rFonts w:hint="eastAsia" w:ascii="宋体" w:hAnsi="宋体" w:cs="宋体"/>
                <w:sz w:val="24"/>
                <w:lang w:eastAsia="zh-CN"/>
              </w:rPr>
              <w:t>；</w:t>
            </w:r>
          </w:p>
          <w:p w14:paraId="2EF20F64">
            <w:pPr>
              <w:bidi w:val="0"/>
              <w:spacing w:beforeLines="-2147483648" w:afterLines="-2147483648" w:line="400" w:lineRule="exact"/>
              <w:ind w:firstLine="0"/>
              <w:jc w:val="left"/>
              <w:rPr>
                <w:rFonts w:hint="eastAsia" w:ascii="宋体" w:hAnsi="宋体" w:cs="宋体" w:eastAsiaTheme="minorEastAsia"/>
                <w:sz w:val="24"/>
                <w:lang w:eastAsia="zh-CN"/>
              </w:rPr>
            </w:pPr>
            <w:r>
              <w:rPr>
                <w:rFonts w:hint="eastAsia" w:ascii="宋体" w:hAnsi="宋体" w:cs="宋体"/>
                <w:sz w:val="24"/>
                <w:lang w:val="en-US" w:eastAsia="zh-CN"/>
              </w:rPr>
              <w:t>15、</w:t>
            </w:r>
            <w:r>
              <w:rPr>
                <w:rFonts w:hint="eastAsia" w:ascii="宋体" w:hAnsi="宋体" w:cs="宋体"/>
                <w:sz w:val="24"/>
              </w:rPr>
              <w:t>图像质量调整功能：可实现对车底或车牌图像进行饱和度、对比度、均衡、锐化调整</w:t>
            </w:r>
            <w:r>
              <w:rPr>
                <w:rFonts w:hint="eastAsia" w:ascii="宋体" w:hAnsi="宋体" w:cs="宋体"/>
                <w:sz w:val="24"/>
                <w:lang w:eastAsia="zh-CN"/>
              </w:rPr>
              <w:t>。</w:t>
            </w:r>
          </w:p>
          <w:p w14:paraId="72C85759">
            <w:pPr>
              <w:spacing w:line="400" w:lineRule="exact"/>
              <w:jc w:val="left"/>
              <w:rPr>
                <w:rFonts w:ascii="宋体" w:hAnsi="宋体" w:eastAsia="宋体" w:cs="宋体"/>
                <w:color w:val="auto"/>
                <w:sz w:val="24"/>
              </w:rPr>
            </w:pPr>
            <w:r>
              <w:rPr>
                <w:rFonts w:hint="eastAsia" w:ascii="宋体" w:hAnsi="宋体" w:cs="宋体" w:eastAsiaTheme="minorEastAsia"/>
                <w:sz w:val="24"/>
                <w:lang w:val="en-US" w:eastAsia="zh-CN"/>
              </w:rPr>
              <w:t>16、</w:t>
            </w:r>
            <w:r>
              <w:rPr>
                <w:rFonts w:hint="eastAsia" w:ascii="宋体" w:hAnsi="宋体" w:eastAsia="宋体" w:cs="宋体"/>
                <w:color w:val="auto"/>
                <w:sz w:val="24"/>
              </w:rPr>
              <w:t>图片检索</w:t>
            </w:r>
            <w:r>
              <w:rPr>
                <w:rFonts w:hint="eastAsia" w:ascii="宋体" w:hAnsi="宋体" w:eastAsia="宋体" w:cs="宋体"/>
                <w:color w:val="auto"/>
                <w:sz w:val="24"/>
                <w:lang w:eastAsia="zh-CN"/>
              </w:rPr>
              <w:t>，</w:t>
            </w:r>
            <w:r>
              <w:rPr>
                <w:rFonts w:hint="eastAsia" w:ascii="宋体" w:hAnsi="宋体" w:eastAsia="宋体" w:cs="宋体"/>
                <w:color w:val="auto"/>
                <w:sz w:val="24"/>
              </w:rPr>
              <w:t>支持按日期、时间、车牌号等信息快速检索存储的车底及车牌、外观图像；</w:t>
            </w:r>
          </w:p>
        </w:tc>
        <w:tc>
          <w:tcPr>
            <w:tcW w:w="783" w:type="dxa"/>
            <w:tcBorders>
              <w:top w:val="single" w:color="auto" w:sz="4" w:space="0"/>
              <w:left w:val="single" w:color="auto" w:sz="4" w:space="0"/>
              <w:bottom w:val="single" w:color="auto" w:sz="4" w:space="0"/>
              <w:right w:val="single" w:color="auto" w:sz="4" w:space="0"/>
            </w:tcBorders>
            <w:vAlign w:val="center"/>
          </w:tcPr>
          <w:p w14:paraId="6B5B29B0">
            <w:pPr>
              <w:widowControl/>
              <w:jc w:val="center"/>
              <w:textAlignment w:val="center"/>
            </w:pPr>
            <w:r>
              <w:rPr>
                <w:rFonts w:hint="eastAsia" w:ascii="宋体" w:hAnsi="宋体" w:eastAsia="宋体" w:cs="宋体"/>
                <w:color w:val="000000"/>
                <w:kern w:val="0"/>
                <w:sz w:val="24"/>
              </w:rPr>
              <w:t>1套</w:t>
            </w:r>
          </w:p>
        </w:tc>
      </w:tr>
      <w:tr w14:paraId="0843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Borders>
              <w:top w:val="single" w:color="auto" w:sz="4" w:space="0"/>
              <w:left w:val="single" w:color="auto" w:sz="4" w:space="0"/>
              <w:bottom w:val="single" w:color="auto" w:sz="4" w:space="0"/>
              <w:right w:val="single" w:color="auto" w:sz="4" w:space="0"/>
            </w:tcBorders>
            <w:vAlign w:val="center"/>
          </w:tcPr>
          <w:p w14:paraId="4B949B04">
            <w:pPr>
              <w:spacing w:line="400" w:lineRule="exact"/>
              <w:jc w:val="center"/>
            </w:pPr>
            <w:r>
              <w:rPr>
                <w:rFonts w:hint="eastAsia" w:ascii="宋体" w:hAnsi="宋体" w:cs="宋体"/>
                <w:sz w:val="24"/>
              </w:rPr>
              <w:t>8</w:t>
            </w:r>
          </w:p>
        </w:tc>
        <w:tc>
          <w:tcPr>
            <w:tcW w:w="1233" w:type="dxa"/>
            <w:tcBorders>
              <w:top w:val="single" w:color="auto" w:sz="4" w:space="0"/>
              <w:left w:val="single" w:color="auto" w:sz="4" w:space="0"/>
              <w:bottom w:val="single" w:color="auto" w:sz="4" w:space="0"/>
              <w:right w:val="single" w:color="auto" w:sz="4" w:space="0"/>
            </w:tcBorders>
            <w:vAlign w:val="center"/>
          </w:tcPr>
          <w:p w14:paraId="1C59ED32">
            <w:pPr>
              <w:widowControl/>
              <w:jc w:val="center"/>
              <w:textAlignment w:val="center"/>
            </w:pPr>
            <w:r>
              <w:rPr>
                <w:rFonts w:hint="eastAsia" w:ascii="宋体" w:hAnsi="宋体" w:eastAsia="宋体" w:cs="宋体"/>
                <w:color w:val="000000"/>
                <w:kern w:val="0"/>
                <w:sz w:val="24"/>
              </w:rPr>
              <w:t>门口车牌识别摄像机</w:t>
            </w:r>
          </w:p>
        </w:tc>
        <w:tc>
          <w:tcPr>
            <w:tcW w:w="6410" w:type="dxa"/>
            <w:tcBorders>
              <w:top w:val="single" w:color="auto" w:sz="4" w:space="0"/>
              <w:left w:val="single" w:color="auto" w:sz="4" w:space="0"/>
              <w:bottom w:val="single" w:color="auto" w:sz="4" w:space="0"/>
              <w:right w:val="single" w:color="auto" w:sz="4" w:space="0"/>
            </w:tcBorders>
            <w:vAlign w:val="center"/>
          </w:tcPr>
          <w:p w14:paraId="520B1D3D">
            <w:pPr>
              <w:spacing w:line="400" w:lineRule="exact"/>
              <w:jc w:val="left"/>
              <w:rPr>
                <w:rFonts w:ascii="宋体" w:hAnsi="宋体" w:eastAsia="宋体" w:cs="宋体"/>
                <w:color w:val="auto"/>
                <w:sz w:val="24"/>
              </w:rPr>
            </w:pPr>
            <w:r>
              <w:rPr>
                <w:rFonts w:hint="eastAsia" w:ascii="宋体" w:hAnsi="宋体" w:eastAsia="宋体" w:cs="宋体"/>
                <w:color w:val="auto"/>
                <w:sz w:val="24"/>
              </w:rPr>
              <w:t>视频压缩标准：H.264/H.265；</w:t>
            </w:r>
            <w:r>
              <w:rPr>
                <w:rFonts w:hint="eastAsia" w:ascii="宋体" w:hAnsi="宋体" w:eastAsia="宋体" w:cs="宋体"/>
                <w:color w:val="auto"/>
                <w:sz w:val="24"/>
              </w:rPr>
              <w:br w:type="textWrapping"/>
            </w:r>
            <w:r>
              <w:rPr>
                <w:rFonts w:hint="eastAsia" w:ascii="宋体" w:hAnsi="宋体" w:eastAsia="宋体" w:cs="宋体"/>
                <w:color w:val="auto"/>
                <w:sz w:val="24"/>
              </w:rPr>
              <w:t>视频压缩码率：32 Kbps~16M bps；</w:t>
            </w:r>
            <w:r>
              <w:rPr>
                <w:rFonts w:hint="eastAsia" w:ascii="宋体" w:hAnsi="宋体" w:eastAsia="宋体" w:cs="宋体"/>
                <w:color w:val="auto"/>
                <w:sz w:val="24"/>
              </w:rPr>
              <w:br w:type="textWrapping"/>
            </w:r>
            <w:r>
              <w:rPr>
                <w:rFonts w:hint="eastAsia" w:ascii="宋体" w:hAnsi="宋体" w:eastAsia="宋体" w:cs="宋体"/>
                <w:color w:val="auto"/>
                <w:sz w:val="24"/>
              </w:rPr>
              <w:t>图像格式：JPEG；</w:t>
            </w:r>
            <w:r>
              <w:rPr>
                <w:rFonts w:hint="eastAsia" w:ascii="宋体" w:hAnsi="宋体" w:eastAsia="宋体" w:cs="宋体"/>
                <w:color w:val="auto"/>
                <w:sz w:val="24"/>
              </w:rPr>
              <w:br w:type="textWrapping"/>
            </w:r>
            <w:r>
              <w:rPr>
                <w:rFonts w:hint="eastAsia" w:ascii="宋体" w:hAnsi="宋体" w:eastAsia="宋体" w:cs="宋体"/>
                <w:color w:val="auto"/>
                <w:sz w:val="24"/>
              </w:rPr>
              <w:t>最大图像尺寸：1920</w:t>
            </w:r>
            <w:r>
              <w:rPr>
                <w:rFonts w:hint="eastAsia" w:ascii="宋体" w:hAnsi="宋体" w:eastAsia="宋体" w:cs="宋体"/>
                <w:color w:val="auto"/>
                <w:sz w:val="24"/>
                <w:szCs w:val="24"/>
                <w:vertAlign w:val="baseline"/>
              </w:rPr>
              <w:t>×</w:t>
            </w:r>
            <w:r>
              <w:rPr>
                <w:rFonts w:hint="eastAsia" w:ascii="宋体" w:hAnsi="宋体" w:eastAsia="宋体" w:cs="宋体"/>
                <w:color w:val="auto"/>
                <w:sz w:val="24"/>
              </w:rPr>
              <w:t>1200；</w:t>
            </w:r>
            <w:r>
              <w:rPr>
                <w:rFonts w:hint="eastAsia" w:ascii="宋体" w:hAnsi="宋体" w:eastAsia="宋体" w:cs="宋体"/>
                <w:color w:val="auto"/>
                <w:sz w:val="24"/>
              </w:rPr>
              <w:br w:type="textWrapping"/>
            </w:r>
            <w:r>
              <w:rPr>
                <w:rFonts w:hint="eastAsia" w:ascii="宋体" w:hAnsi="宋体" w:eastAsia="宋体" w:cs="宋体"/>
                <w:color w:val="auto"/>
                <w:sz w:val="24"/>
              </w:rPr>
              <w:t>智能识别：车牌识别、车型识别、车标识别、车辆子品牌，车身颜色识别；</w:t>
            </w:r>
            <w:r>
              <w:rPr>
                <w:rFonts w:hint="eastAsia" w:ascii="宋体" w:hAnsi="宋体" w:eastAsia="宋体" w:cs="宋体"/>
                <w:color w:val="auto"/>
                <w:sz w:val="24"/>
              </w:rPr>
              <w:br w:type="textWrapping"/>
            </w:r>
            <w:r>
              <w:rPr>
                <w:rFonts w:hint="eastAsia" w:ascii="宋体" w:hAnsi="宋体" w:eastAsia="宋体" w:cs="宋体"/>
                <w:color w:val="auto"/>
                <w:sz w:val="24"/>
              </w:rPr>
              <w:t>图片格式：采用JPEG编码,图片质量可设；</w:t>
            </w:r>
            <w:r>
              <w:rPr>
                <w:rFonts w:hint="eastAsia" w:ascii="宋体" w:hAnsi="宋体" w:eastAsia="宋体" w:cs="宋体"/>
                <w:color w:val="auto"/>
                <w:sz w:val="24"/>
              </w:rPr>
              <w:br w:type="textWrapping"/>
            </w:r>
            <w:r>
              <w:rPr>
                <w:rFonts w:hint="eastAsia" w:ascii="宋体" w:hAnsi="宋体" w:eastAsia="宋体" w:cs="宋体"/>
                <w:color w:val="auto"/>
                <w:sz w:val="24"/>
              </w:rPr>
              <w:t>通讯接口：1个RJ45 10M/100M,自适应以太网口；</w:t>
            </w:r>
            <w:r>
              <w:rPr>
                <w:rFonts w:hint="eastAsia" w:ascii="宋体" w:hAnsi="宋体" w:eastAsia="宋体" w:cs="宋体"/>
                <w:color w:val="auto"/>
                <w:sz w:val="24"/>
              </w:rPr>
              <w:br w:type="textWrapping"/>
            </w:r>
            <w:r>
              <w:rPr>
                <w:rFonts w:hint="eastAsia" w:ascii="宋体" w:hAnsi="宋体" w:eastAsia="宋体" w:cs="宋体"/>
                <w:color w:val="auto"/>
                <w:sz w:val="24"/>
              </w:rPr>
              <w:t>外部接口：3路触发输入，其中1路IO触发输入、2路报警输入；2路继电器输出，支持道闸开、关、停；</w:t>
            </w:r>
            <w:r>
              <w:rPr>
                <w:rFonts w:hint="eastAsia" w:ascii="宋体" w:hAnsi="宋体" w:eastAsia="宋体" w:cs="宋体"/>
                <w:color w:val="auto"/>
                <w:sz w:val="24"/>
              </w:rPr>
              <w:br w:type="textWrapping"/>
            </w:r>
            <w:r>
              <w:rPr>
                <w:rFonts w:hint="eastAsia" w:ascii="宋体" w:hAnsi="宋体" w:eastAsia="宋体" w:cs="宋体"/>
                <w:color w:val="auto"/>
                <w:sz w:val="24"/>
              </w:rPr>
              <w:t>防护等级：≥IP67；</w:t>
            </w:r>
            <w:r>
              <w:rPr>
                <w:rFonts w:hint="eastAsia" w:ascii="宋体" w:hAnsi="宋体" w:eastAsia="宋体" w:cs="宋体"/>
                <w:color w:val="auto"/>
                <w:sz w:val="24"/>
              </w:rPr>
              <w:br w:type="textWrapping"/>
            </w:r>
            <w:r>
              <w:rPr>
                <w:rFonts w:hint="eastAsia" w:ascii="宋体" w:hAnsi="宋体" w:eastAsia="宋体" w:cs="宋体"/>
                <w:color w:val="auto"/>
                <w:sz w:val="24"/>
              </w:rPr>
              <w:t>工作温度和湿度：-25℃~70℃,湿度小于90%(无凝结)；</w:t>
            </w:r>
            <w:r>
              <w:rPr>
                <w:rFonts w:hint="eastAsia" w:ascii="宋体" w:hAnsi="宋体" w:eastAsia="宋体" w:cs="宋体"/>
                <w:color w:val="auto"/>
                <w:sz w:val="24"/>
              </w:rPr>
              <w:br w:type="textWrapping"/>
            </w:r>
            <w:r>
              <w:rPr>
                <w:rFonts w:hint="eastAsia" w:ascii="宋体" w:hAnsi="宋体" w:eastAsia="宋体" w:cs="宋体"/>
                <w:color w:val="auto"/>
                <w:sz w:val="24"/>
              </w:rPr>
              <w:t>电源供应：AC100V~240V。</w:t>
            </w:r>
          </w:p>
        </w:tc>
        <w:tc>
          <w:tcPr>
            <w:tcW w:w="783" w:type="dxa"/>
            <w:tcBorders>
              <w:top w:val="single" w:color="auto" w:sz="4" w:space="0"/>
              <w:left w:val="single" w:color="auto" w:sz="4" w:space="0"/>
              <w:bottom w:val="single" w:color="auto" w:sz="4" w:space="0"/>
              <w:right w:val="single" w:color="auto" w:sz="4" w:space="0"/>
            </w:tcBorders>
            <w:vAlign w:val="center"/>
          </w:tcPr>
          <w:p w14:paraId="48CF4DBB">
            <w:pPr>
              <w:widowControl/>
              <w:jc w:val="center"/>
              <w:textAlignment w:val="center"/>
            </w:pPr>
            <w:r>
              <w:rPr>
                <w:rFonts w:hint="eastAsia" w:ascii="宋体" w:hAnsi="宋体" w:eastAsia="宋体" w:cs="宋体"/>
                <w:color w:val="000000"/>
                <w:kern w:val="0"/>
                <w:sz w:val="24"/>
              </w:rPr>
              <w:t>2台</w:t>
            </w:r>
          </w:p>
        </w:tc>
      </w:tr>
      <w:tr w14:paraId="50B7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Borders>
              <w:top w:val="single" w:color="auto" w:sz="4" w:space="0"/>
              <w:left w:val="single" w:color="auto" w:sz="4" w:space="0"/>
              <w:bottom w:val="single" w:color="auto" w:sz="4" w:space="0"/>
              <w:right w:val="single" w:color="auto" w:sz="4" w:space="0"/>
            </w:tcBorders>
            <w:vAlign w:val="center"/>
          </w:tcPr>
          <w:p w14:paraId="2EFCD66E">
            <w:pPr>
              <w:spacing w:line="400" w:lineRule="exact"/>
              <w:jc w:val="center"/>
            </w:pPr>
            <w:r>
              <w:rPr>
                <w:rFonts w:hint="eastAsia" w:ascii="宋体" w:hAnsi="宋体" w:cs="宋体"/>
                <w:sz w:val="24"/>
              </w:rPr>
              <w:t>9</w:t>
            </w:r>
          </w:p>
        </w:tc>
        <w:tc>
          <w:tcPr>
            <w:tcW w:w="1233" w:type="dxa"/>
            <w:tcBorders>
              <w:top w:val="single" w:color="auto" w:sz="4" w:space="0"/>
              <w:left w:val="single" w:color="auto" w:sz="4" w:space="0"/>
              <w:bottom w:val="single" w:color="auto" w:sz="4" w:space="0"/>
              <w:right w:val="single" w:color="auto" w:sz="4" w:space="0"/>
            </w:tcBorders>
            <w:vAlign w:val="center"/>
          </w:tcPr>
          <w:p w14:paraId="32997A6B">
            <w:pPr>
              <w:widowControl/>
              <w:jc w:val="center"/>
              <w:textAlignment w:val="center"/>
            </w:pPr>
            <w:r>
              <w:rPr>
                <w:rFonts w:hint="eastAsia" w:ascii="宋体" w:hAnsi="宋体" w:eastAsia="宋体" w:cs="宋体"/>
                <w:color w:val="000000"/>
                <w:kern w:val="0"/>
                <w:sz w:val="24"/>
              </w:rPr>
              <w:t>车道管理终端</w:t>
            </w:r>
          </w:p>
        </w:tc>
        <w:tc>
          <w:tcPr>
            <w:tcW w:w="6410" w:type="dxa"/>
            <w:tcBorders>
              <w:top w:val="single" w:color="auto" w:sz="4" w:space="0"/>
              <w:left w:val="single" w:color="auto" w:sz="4" w:space="0"/>
              <w:bottom w:val="single" w:color="auto" w:sz="4" w:space="0"/>
              <w:right w:val="single" w:color="auto" w:sz="4" w:space="0"/>
            </w:tcBorders>
            <w:vAlign w:val="center"/>
          </w:tcPr>
          <w:p w14:paraId="000C86A7">
            <w:pPr>
              <w:spacing w:line="400" w:lineRule="exact"/>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设备参数：</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15</w:t>
            </w:r>
            <w:r>
              <w:rPr>
                <w:rFonts w:hint="eastAsia" w:ascii="宋体" w:hAnsi="宋体" w:eastAsia="宋体" w:cs="宋体"/>
                <w:b w:val="0"/>
                <w:bCs w:val="0"/>
                <w:color w:val="auto"/>
                <w:sz w:val="24"/>
                <w:highlight w:val="none"/>
                <w:lang w:val="en-US" w:eastAsia="zh-CN"/>
              </w:rPr>
              <w:t>英</w:t>
            </w:r>
            <w:r>
              <w:rPr>
                <w:rFonts w:hint="eastAsia" w:ascii="宋体" w:hAnsi="宋体" w:eastAsia="宋体" w:cs="宋体"/>
                <w:b w:val="0"/>
                <w:bCs w:val="0"/>
                <w:color w:val="auto"/>
                <w:sz w:val="24"/>
                <w:highlight w:val="none"/>
              </w:rPr>
              <w:t>寸，≥四核  1.8GHz</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CUP，内存≥4G，</w:t>
            </w:r>
          </w:p>
          <w:p w14:paraId="6FA3C1A1">
            <w:pPr>
              <w:spacing w:line="400" w:lineRule="exact"/>
              <w:jc w:val="left"/>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、触摸屏；反应时间：≤5ms；分辨率：≥</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1366</w:t>
            </w:r>
            <w:r>
              <w:rPr>
                <w:rFonts w:hint="eastAsia" w:ascii="宋体" w:hAnsi="宋体" w:eastAsia="宋体" w:cs="宋体"/>
                <w:b w:val="0"/>
                <w:bCs w:val="0"/>
                <w:color w:val="auto"/>
                <w:sz w:val="24"/>
                <w:szCs w:val="24"/>
                <w:highlight w:val="none"/>
                <w:vertAlign w:val="baseline"/>
              </w:rPr>
              <w:t>×</w:t>
            </w:r>
            <w:r>
              <w:rPr>
                <w:rFonts w:hint="eastAsia" w:ascii="宋体" w:hAnsi="宋体" w:eastAsia="宋体" w:cs="宋体"/>
                <w:b w:val="0"/>
                <w:bCs w:val="0"/>
                <w:color w:val="auto"/>
                <w:sz w:val="24"/>
                <w:highlight w:val="none"/>
              </w:rPr>
              <w:t>768</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；屏幕比例：16:10；亮度：≥250cd/㎡（Typ.）、集成身份证识别模块</w:t>
            </w:r>
            <w:r>
              <w:rPr>
                <w:rFonts w:hint="eastAsia" w:ascii="宋体" w:hAnsi="宋体" w:eastAsia="宋体" w:cs="宋体"/>
                <w:b w:val="0"/>
                <w:bCs w:val="0"/>
                <w:color w:val="auto"/>
                <w:sz w:val="24"/>
                <w:highlight w:val="none"/>
                <w:lang w:eastAsia="zh-CN"/>
              </w:rPr>
              <w:t>。</w:t>
            </w:r>
          </w:p>
          <w:p w14:paraId="0431C2FB">
            <w:pPr>
              <w:spacing w:line="400" w:lineRule="exact"/>
              <w:jc w:val="left"/>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存储内存≥16G</w:t>
            </w:r>
            <w:r>
              <w:rPr>
                <w:rFonts w:hint="eastAsia" w:ascii="宋体" w:hAnsi="宋体" w:eastAsia="宋体" w:cs="宋体"/>
                <w:b w:val="0"/>
                <w:bCs w:val="0"/>
                <w:color w:val="auto"/>
                <w:sz w:val="24"/>
                <w:highlight w:val="none"/>
                <w:lang w:eastAsia="zh-CN"/>
              </w:rPr>
              <w:t>；</w:t>
            </w:r>
          </w:p>
          <w:p w14:paraId="720E76FE">
            <w:pPr>
              <w:spacing w:line="400" w:lineRule="exact"/>
              <w:jc w:val="left"/>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摄像头</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≥200万像素摄像头</w:t>
            </w:r>
            <w:r>
              <w:rPr>
                <w:rFonts w:hint="eastAsia" w:ascii="宋体" w:hAnsi="宋体" w:eastAsia="宋体" w:cs="宋体"/>
                <w:b w:val="0"/>
                <w:bCs w:val="0"/>
                <w:color w:val="auto"/>
                <w:sz w:val="24"/>
                <w:highlight w:val="none"/>
                <w:lang w:eastAsia="zh-CN"/>
              </w:rPr>
              <w:t>；</w:t>
            </w:r>
          </w:p>
          <w:p w14:paraId="2D17FD7C">
            <w:pPr>
              <w:spacing w:line="400" w:lineRule="exact"/>
              <w:jc w:val="left"/>
              <w:rPr>
                <w:rFonts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5、</w:t>
            </w:r>
            <w:r>
              <w:rPr>
                <w:rFonts w:hint="eastAsia" w:ascii="宋体" w:hAnsi="宋体" w:eastAsia="宋体" w:cs="宋体"/>
                <w:color w:val="auto"/>
                <w:sz w:val="24"/>
                <w:highlight w:val="none"/>
              </w:rPr>
              <w:t>含APP功能：支持人脸生物识别，支持RGB活体检测抵御面具、视频、照片等防攻击识别；进出监确认，以及根据</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需求完善车道管理终端功能。</w:t>
            </w:r>
          </w:p>
        </w:tc>
        <w:tc>
          <w:tcPr>
            <w:tcW w:w="783" w:type="dxa"/>
            <w:tcBorders>
              <w:top w:val="single" w:color="auto" w:sz="4" w:space="0"/>
              <w:left w:val="single" w:color="auto" w:sz="4" w:space="0"/>
              <w:bottom w:val="single" w:color="auto" w:sz="4" w:space="0"/>
              <w:right w:val="single" w:color="auto" w:sz="4" w:space="0"/>
            </w:tcBorders>
            <w:vAlign w:val="center"/>
          </w:tcPr>
          <w:p w14:paraId="30B7D3F1">
            <w:pPr>
              <w:widowControl/>
              <w:jc w:val="center"/>
              <w:textAlignment w:val="center"/>
            </w:pPr>
            <w:r>
              <w:rPr>
                <w:rFonts w:hint="eastAsia" w:ascii="宋体" w:hAnsi="宋体" w:eastAsia="宋体" w:cs="宋体"/>
                <w:color w:val="000000"/>
                <w:kern w:val="0"/>
                <w:sz w:val="24"/>
              </w:rPr>
              <w:t>1台</w:t>
            </w:r>
          </w:p>
        </w:tc>
      </w:tr>
    </w:tbl>
    <w:p w14:paraId="567C79A6">
      <w:pPr>
        <w:pStyle w:val="6"/>
        <w:widowControl/>
        <w:shd w:val="clear" w:color="auto" w:fill="FFFFFF"/>
        <w:spacing w:beforeAutospacing="0" w:afterAutospacing="0" w:line="480" w:lineRule="atLeast"/>
        <w:jc w:val="both"/>
        <w:rPr>
          <w:rFonts w:cs="宋体"/>
          <w:color w:val="333333"/>
          <w:sz w:val="24"/>
          <w:szCs w:val="24"/>
          <w:shd w:val="clear" w:color="auto" w:fill="FFFFFF"/>
        </w:rPr>
      </w:pPr>
      <w:r>
        <w:rPr>
          <w:rFonts w:cs="宋体"/>
          <w:color w:val="333333"/>
          <w:sz w:val="24"/>
          <w:szCs w:val="24"/>
          <w:shd w:val="clear" w:color="auto" w:fill="FFFFFF"/>
        </w:rPr>
        <w:t>★</w:t>
      </w:r>
      <w:r>
        <w:rPr>
          <w:rFonts w:hint="eastAsia" w:cs="宋体"/>
          <w:color w:val="333333"/>
          <w:sz w:val="24"/>
          <w:szCs w:val="24"/>
          <w:shd w:val="clear" w:color="auto" w:fill="FFFFFF"/>
          <w:lang w:val="en-US" w:eastAsia="zh-CN"/>
        </w:rPr>
        <w:t>以上</w:t>
      </w:r>
      <w:r>
        <w:rPr>
          <w:rFonts w:hint="eastAsia" w:ascii="宋体" w:hAnsi="宋体" w:eastAsia="宋体" w:cs="宋体"/>
          <w:b/>
          <w:bCs/>
          <w:snapToGrid w:val="0"/>
          <w:color w:val="auto"/>
          <w:kern w:val="0"/>
          <w:sz w:val="24"/>
          <w:lang w:val="en-US" w:eastAsia="zh-CN"/>
        </w:rPr>
        <w:t>技术参数均为本项目基本要求，为不允许负偏离的实质性要求，若有负偏离或未响应的按无效投标处理。</w:t>
      </w:r>
    </w:p>
    <w:p w14:paraId="7C9C8320">
      <w:pPr>
        <w:pStyle w:val="6"/>
        <w:widowControl/>
        <w:shd w:val="clear" w:color="auto" w:fill="FFFFFF"/>
        <w:spacing w:beforeAutospacing="0" w:afterAutospacing="0" w:line="480" w:lineRule="atLeast"/>
        <w:jc w:val="both"/>
        <w:rPr>
          <w:rFonts w:hint="default" w:cs="宋体"/>
          <w:color w:val="333333"/>
        </w:rPr>
      </w:pPr>
      <w:r>
        <w:rPr>
          <w:rFonts w:cs="宋体"/>
          <w:color w:val="333333"/>
          <w:shd w:val="clear" w:color="auto" w:fill="FFFFFF"/>
        </w:rPr>
        <w:t>三、商务要求（以“★”标示的内容为不允许负偏离的实质性要求）</w:t>
      </w:r>
    </w:p>
    <w:p w14:paraId="31A0603B">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color w:val="333333"/>
          <w:shd w:val="clear" w:color="auto" w:fill="FFFFFF"/>
        </w:rPr>
        <w:t>采购包1：</w:t>
      </w:r>
    </w:p>
    <w:tbl>
      <w:tblPr>
        <w:tblStyle w:val="17"/>
        <w:tblW w:w="854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54"/>
        <w:gridCol w:w="855"/>
        <w:gridCol w:w="1282"/>
        <w:gridCol w:w="5555"/>
      </w:tblGrid>
      <w:tr w14:paraId="0879F0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5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2ACD3FC">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序号</w:t>
            </w:r>
          </w:p>
        </w:tc>
        <w:tc>
          <w:tcPr>
            <w:tcW w:w="85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5AB0665">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参数性质</w:t>
            </w:r>
          </w:p>
        </w:tc>
        <w:tc>
          <w:tcPr>
            <w:tcW w:w="1282"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00B7A6E">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类型</w:t>
            </w:r>
          </w:p>
        </w:tc>
        <w:tc>
          <w:tcPr>
            <w:tcW w:w="555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AB57FCE">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要求</w:t>
            </w:r>
          </w:p>
        </w:tc>
      </w:tr>
      <w:tr w14:paraId="62B11E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7C5E09">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1</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4EBF74F">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w:t>
            </w:r>
          </w:p>
        </w:tc>
        <w:tc>
          <w:tcPr>
            <w:tcW w:w="12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9021054">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交货时间</w:t>
            </w:r>
          </w:p>
        </w:tc>
        <w:tc>
          <w:tcPr>
            <w:tcW w:w="55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6CBE78">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自合同签订之日起</w:t>
            </w:r>
            <w:r>
              <w:rPr>
                <w:rFonts w:hint="eastAsia" w:ascii="宋体" w:hAnsi="宋体" w:eastAsia="宋体" w:cs="宋体"/>
                <w:kern w:val="0"/>
                <w:sz w:val="24"/>
                <w:lang w:val="en-US" w:eastAsia="zh-CN"/>
              </w:rPr>
              <w:t>90</w:t>
            </w:r>
            <w:r>
              <w:rPr>
                <w:rFonts w:hint="eastAsia" w:ascii="宋体" w:hAnsi="宋体" w:eastAsia="宋体" w:cs="宋体"/>
                <w:kern w:val="0"/>
                <w:sz w:val="24"/>
              </w:rPr>
              <w:t>日</w:t>
            </w:r>
          </w:p>
        </w:tc>
      </w:tr>
      <w:tr w14:paraId="1FD2C5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C2E7F5">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2</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E62741">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w:t>
            </w:r>
          </w:p>
        </w:tc>
        <w:tc>
          <w:tcPr>
            <w:tcW w:w="12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0D185C9">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交货地点</w:t>
            </w:r>
          </w:p>
        </w:tc>
        <w:tc>
          <w:tcPr>
            <w:tcW w:w="55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353906">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福建省宁德市蕉城区金涵乡（按采购人指定地点送货、安装）。</w:t>
            </w:r>
          </w:p>
        </w:tc>
      </w:tr>
      <w:tr w14:paraId="39E0AA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3EE928C">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3</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B2BCD6">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w:t>
            </w:r>
          </w:p>
        </w:tc>
        <w:tc>
          <w:tcPr>
            <w:tcW w:w="12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14450A">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交货条件</w:t>
            </w:r>
          </w:p>
        </w:tc>
        <w:tc>
          <w:tcPr>
            <w:tcW w:w="55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86F4F7">
            <w:pPr>
              <w:widowControl/>
              <w:wordWrap w:val="0"/>
              <w:spacing w:line="480" w:lineRule="atLeast"/>
              <w:jc w:val="center"/>
              <w:rPr>
                <w:rFonts w:ascii="宋体" w:hAnsi="宋体" w:eastAsia="宋体" w:cs="宋体"/>
                <w:kern w:val="0"/>
                <w:sz w:val="24"/>
              </w:rPr>
            </w:pPr>
            <w:r>
              <w:rPr>
                <w:rFonts w:hint="eastAsia" w:ascii="宋体" w:hAnsi="宋体" w:eastAsia="宋体" w:cs="宋体"/>
                <w:kern w:val="0"/>
                <w:sz w:val="24"/>
              </w:rPr>
              <w:t>验收合格后并交付采购人使用。</w:t>
            </w:r>
          </w:p>
        </w:tc>
      </w:tr>
      <w:tr w14:paraId="5F961F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7516FFC">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4</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A9B22D">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w:t>
            </w:r>
          </w:p>
        </w:tc>
        <w:tc>
          <w:tcPr>
            <w:tcW w:w="12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4D2F1A">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是否邀请投标人验收</w:t>
            </w:r>
          </w:p>
        </w:tc>
        <w:tc>
          <w:tcPr>
            <w:tcW w:w="55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1FA86B">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不邀请投标人验收</w:t>
            </w:r>
          </w:p>
        </w:tc>
      </w:tr>
      <w:tr w14:paraId="160CFF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07B19B">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5</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F72B4D">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w:t>
            </w:r>
          </w:p>
        </w:tc>
        <w:tc>
          <w:tcPr>
            <w:tcW w:w="12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307837">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履约验收方式</w:t>
            </w:r>
          </w:p>
        </w:tc>
        <w:tc>
          <w:tcPr>
            <w:tcW w:w="55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7AAB76">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1、期次1，说明：具体详见招标文件第五章“其他商务要求”。</w:t>
            </w:r>
          </w:p>
        </w:tc>
      </w:tr>
      <w:tr w14:paraId="5A6F43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FF3748">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6</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91A1E2">
            <w:pPr>
              <w:jc w:val="center"/>
              <w:rPr>
                <w:rFonts w:ascii="宋体" w:hAnsi="宋体" w:eastAsia="宋体" w:cs="宋体"/>
                <w:sz w:val="24"/>
              </w:rPr>
            </w:pPr>
          </w:p>
        </w:tc>
        <w:tc>
          <w:tcPr>
            <w:tcW w:w="12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FB58C5">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合同支付方式</w:t>
            </w:r>
          </w:p>
        </w:tc>
        <w:tc>
          <w:tcPr>
            <w:tcW w:w="55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7AC8FA">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1、按本表“序号8”合同支付方式进行支付，达到付款条件起10日内，支付合同总金额的100.00%</w:t>
            </w:r>
          </w:p>
        </w:tc>
      </w:tr>
      <w:tr w14:paraId="7D1065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D78FEE">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7</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02C1667">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w:t>
            </w:r>
          </w:p>
        </w:tc>
        <w:tc>
          <w:tcPr>
            <w:tcW w:w="12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32771A2">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履约保证金</w:t>
            </w:r>
          </w:p>
        </w:tc>
        <w:tc>
          <w:tcPr>
            <w:tcW w:w="55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E6CE65">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缴纳,</w:t>
            </w:r>
            <w:r>
              <w:rPr>
                <w:rFonts w:hint="eastAsia" w:ascii="宋体" w:hAnsi="宋体" w:eastAsia="宋体" w:cs="宋体"/>
                <w:shd w:val="clear" w:color="auto" w:fill="FFFFFF"/>
              </w:rPr>
              <w:t>本采购包履约保证金为合同金额的5.0%，</w:t>
            </w:r>
            <w:r>
              <w:rPr>
                <w:rFonts w:hint="eastAsia" w:ascii="宋体" w:hAnsi="宋体" w:eastAsia="宋体" w:cs="宋体"/>
              </w:rPr>
              <w:t xml:space="preserve"> 中标人需在合同签订前以</w:t>
            </w:r>
            <w:r>
              <w:rPr>
                <w:rFonts w:hint="eastAsia" w:ascii="宋体" w:hAnsi="宋体" w:eastAsia="宋体" w:cs="宋体"/>
                <w:shd w:val="clear" w:color="auto" w:fill="FFFFFF"/>
              </w:rPr>
              <w:t>银行转账、支票、汇票、本票或银行出具的无条件支付保函等非现金形式</w:t>
            </w:r>
            <w:r>
              <w:rPr>
                <w:rFonts w:hint="eastAsia" w:ascii="宋体" w:hAnsi="宋体" w:eastAsia="宋体" w:cs="宋体"/>
              </w:rPr>
              <w:t>缴交至采购人指定的账户。中标人在合同期满（含质量维保期）后，且经采购人确认双方无未了事项后，由中标人提出书面申请，经采购人办理内部审批程序后无息退还。</w:t>
            </w:r>
          </w:p>
        </w:tc>
      </w:tr>
      <w:tr w14:paraId="7A6E15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5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CEB798">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8</w:t>
            </w:r>
          </w:p>
        </w:tc>
        <w:tc>
          <w:tcPr>
            <w:tcW w:w="8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026F949">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w:t>
            </w:r>
          </w:p>
        </w:tc>
        <w:tc>
          <w:tcPr>
            <w:tcW w:w="12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054B1B7">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其他</w:t>
            </w:r>
          </w:p>
        </w:tc>
        <w:tc>
          <w:tcPr>
            <w:tcW w:w="555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95BF53A">
            <w:pPr>
              <w:pStyle w:val="20"/>
              <w:spacing w:line="360" w:lineRule="auto"/>
              <w:ind w:firstLine="0" w:firstLineChars="0"/>
              <w:jc w:val="left"/>
              <w:rPr>
                <w:rFonts w:hAnsi="宋体" w:cs="宋体"/>
                <w:sz w:val="24"/>
                <w:szCs w:val="24"/>
              </w:rPr>
            </w:pPr>
            <w:r>
              <w:rPr>
                <w:rFonts w:hint="eastAsia" w:hAnsi="宋体" w:cs="宋体"/>
                <w:sz w:val="24"/>
                <w:szCs w:val="24"/>
              </w:rPr>
              <w:t>合同支付方式：1、初步验收合格后，中标人提供合同总金额的</w:t>
            </w:r>
            <w:r>
              <w:rPr>
                <w:rFonts w:hAnsi="宋体" w:cs="宋体"/>
                <w:sz w:val="24"/>
                <w:szCs w:val="24"/>
              </w:rPr>
              <w:t>100%增值税</w:t>
            </w:r>
            <w:r>
              <w:rPr>
                <w:rFonts w:hint="eastAsia" w:hAnsi="宋体" w:cs="宋体"/>
                <w:sz w:val="24"/>
                <w:szCs w:val="24"/>
              </w:rPr>
              <w:t>普通</w:t>
            </w:r>
            <w:r>
              <w:rPr>
                <w:rFonts w:hAnsi="宋体" w:cs="宋体"/>
                <w:sz w:val="24"/>
                <w:szCs w:val="24"/>
              </w:rPr>
              <w:t>发票</w:t>
            </w:r>
            <w:r>
              <w:rPr>
                <w:rFonts w:hint="eastAsia" w:hAnsi="宋体" w:cs="宋体"/>
                <w:sz w:val="24"/>
                <w:szCs w:val="24"/>
              </w:rPr>
              <w:t>等完整请款材料后，采购人收到发票且审核完毕后，达到付款条件起10个工作日内，支付合同总价款的70%；2、最终验收合格后，中标人提供完整请款材料后，采购人在10个工作日内支付合同总价款的30%；</w:t>
            </w:r>
            <w:r>
              <w:rPr>
                <w:rFonts w:hint="eastAsia" w:hAnsi="宋体" w:cs="宋体"/>
                <w:b/>
                <w:bCs/>
                <w:sz w:val="24"/>
                <w:szCs w:val="24"/>
                <w:u w:val="single"/>
              </w:rPr>
              <w:t>注：本表“序号6”受福建省政府采购网上公开信息系统招标模板限制，与本条款有冲突的，均以本条款规定为准。</w:t>
            </w:r>
          </w:p>
        </w:tc>
      </w:tr>
    </w:tbl>
    <w:p w14:paraId="65F9F09C">
      <w:pPr>
        <w:pStyle w:val="4"/>
        <w:widowControl/>
        <w:shd w:val="clear" w:color="auto" w:fill="FFFFFF"/>
        <w:spacing w:beforeAutospacing="0" w:afterAutospacing="0" w:line="480" w:lineRule="atLeast"/>
        <w:rPr>
          <w:rFonts w:ascii="宋体" w:hAnsi="宋体" w:eastAsia="宋体" w:cs="宋体"/>
          <w:color w:val="333333"/>
        </w:rPr>
      </w:pPr>
      <w:r>
        <w:rPr>
          <w:rFonts w:hint="eastAsia" w:ascii="宋体" w:hAnsi="宋体" w:eastAsia="宋体" w:cs="宋体"/>
          <w:color w:val="333333"/>
          <w:shd w:val="clear" w:color="auto" w:fill="FFFFFF"/>
        </w:rPr>
        <w:t>其他商务要求</w:t>
      </w:r>
    </w:p>
    <w:p w14:paraId="7B0D09BE">
      <w:pPr>
        <w:pStyle w:val="4"/>
        <w:widowControl/>
        <w:spacing w:beforeAutospacing="0" w:afterAutospacing="0" w:line="480" w:lineRule="atLeast"/>
        <w:ind w:firstLine="480"/>
        <w:jc w:val="both"/>
        <w:rPr>
          <w:rFonts w:ascii="宋体" w:hAnsi="宋体" w:eastAsia="宋体" w:cs="宋体"/>
        </w:rPr>
      </w:pPr>
      <w:r>
        <w:rPr>
          <w:rFonts w:hint="eastAsia" w:ascii="宋体" w:hAnsi="宋体" w:eastAsia="宋体" w:cs="宋体"/>
          <w:b/>
          <w:bCs/>
          <w:color w:val="333333"/>
          <w:shd w:val="clear" w:color="auto" w:fill="FFFFFF"/>
        </w:rPr>
        <w:t>9、货物包装方式</w:t>
      </w:r>
    </w:p>
    <w:p w14:paraId="2009384B">
      <w:pPr>
        <w:pStyle w:val="4"/>
        <w:widowControl/>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9.1包装：货物交货时应按国家有关标准要求进行包装。</w:t>
      </w:r>
    </w:p>
    <w:p w14:paraId="292032F8">
      <w:pPr>
        <w:pStyle w:val="4"/>
        <w:widowControl/>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9.2方式：包装必须与运输方式相适应，包装方式的确定及包装费用均由中标人负责；由于不适当的包装而造成货物在运输过程中有任何损坏由中标人负责。</w:t>
      </w:r>
    </w:p>
    <w:p w14:paraId="13246765">
      <w:pPr>
        <w:pStyle w:val="4"/>
        <w:widowControl/>
        <w:spacing w:beforeAutospacing="0" w:afterAutospacing="0" w:line="480" w:lineRule="atLeast"/>
        <w:ind w:firstLine="480"/>
        <w:jc w:val="both"/>
        <w:rPr>
          <w:rFonts w:ascii="宋体" w:hAnsi="宋体" w:eastAsia="宋体" w:cs="宋体"/>
        </w:rPr>
      </w:pPr>
      <w:r>
        <w:rPr>
          <w:rFonts w:hint="eastAsia" w:ascii="宋体" w:hAnsi="宋体" w:eastAsia="宋体" w:cs="宋体"/>
          <w:color w:val="333333"/>
          <w:shd w:val="clear" w:color="auto" w:fill="FFFFFF"/>
        </w:rPr>
        <w:t>注：包装应足以承受整个过程中的运输、转运、装卸、储存等，充分考虑到运输途中的各种情况(如暴露于恶劣气候等)和项目所在地的气候特点，以及露天存放的需要。</w:t>
      </w:r>
    </w:p>
    <w:p w14:paraId="32D1AFE0">
      <w:pPr>
        <w:pStyle w:val="4"/>
        <w:widowControl/>
        <w:spacing w:beforeAutospacing="0" w:afterAutospacing="0" w:line="480" w:lineRule="atLeast"/>
        <w:ind w:firstLine="480"/>
        <w:jc w:val="both"/>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10、安装及调试</w:t>
      </w:r>
    </w:p>
    <w:p w14:paraId="6B0D127F">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10.1合同签订后，中标人须将软件及设备的工作条件要求通知最终用户，并提供安装、调试及试运行的进度计划表。</w:t>
      </w:r>
    </w:p>
    <w:p w14:paraId="36D71AE8">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10.2中标人在接采购人进场通知后负责将软件及设备按签订合同的具体数量、具体地点运送到最终目的地，中标人应在接到采购人通知后在规定的时间内负责派技术人员到现场进行安装、调试，并负责调试至验收合格交付采购人使用。</w:t>
      </w:r>
    </w:p>
    <w:p w14:paraId="46D9A6AC">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10.3中标人负责组织专业技术人员进行货物安装调试，采购人应提供必须的基本条件和专人配合，保证各项安装工作顺利进行。</w:t>
      </w:r>
    </w:p>
    <w:p w14:paraId="782AE0B6">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10.4中标人在设施设备进场安装过程中须做好相应的安全防护措施，若出现人员事故、伤亡等安全责任问题，均由中标人自行承担，采购人无需承担任何责任。</w:t>
      </w:r>
    </w:p>
    <w:p w14:paraId="7D6F7D8C">
      <w:pPr>
        <w:pStyle w:val="4"/>
        <w:widowControl/>
        <w:spacing w:beforeAutospacing="0" w:afterAutospacing="0" w:line="480" w:lineRule="atLeast"/>
        <w:ind w:firstLine="480"/>
        <w:jc w:val="both"/>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11、验收要求</w:t>
      </w:r>
    </w:p>
    <w:p w14:paraId="25485463">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11.1验收标准：所有软硬件设备按国家行业标准、合同文件、招标文件、投标文件等有关内容进行验收。实行现场验收，由采购人与中标人代表按招标文件、投标文件和合同条款及相关标准要求进行验收。</w:t>
      </w:r>
    </w:p>
    <w:p w14:paraId="443DFCEF">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11.2验收程序</w:t>
      </w:r>
    </w:p>
    <w:p w14:paraId="3B87C55E">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11.2.1到货验收：中标人将货物配送到采购方指定地点后，采购人会同有关部门进行基本质量和数量的检验（但不作为最终合格的认定），经检验的货物必须能完全达到招标文件规定的要求。</w:t>
      </w:r>
    </w:p>
    <w:p w14:paraId="49795BD7">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11.2.2</w:t>
      </w:r>
      <w:r>
        <w:rPr>
          <w:rFonts w:ascii="宋体" w:hAnsi="宋体" w:eastAsia="宋体" w:cs="宋体"/>
          <w:color w:val="333333"/>
          <w:shd w:val="clear" w:color="auto" w:fill="FFFFFF"/>
        </w:rPr>
        <w:t xml:space="preserve"> </w:t>
      </w:r>
      <w:r>
        <w:rPr>
          <w:rFonts w:hint="eastAsia" w:ascii="宋体" w:hAnsi="宋体" w:eastAsia="宋体" w:cs="宋体"/>
          <w:color w:val="333333"/>
          <w:shd w:val="clear" w:color="auto" w:fill="FFFFFF"/>
        </w:rPr>
        <w:t>初步验收：软硬件设备安装调试完成后，中标人提出书面申请，采购人在7个工作日内组织相关人员对本项目进行初步验收。所有的产品功能指标应符合招投标文件及合同的要求。在此期间，若发现货物质量有问题，中标人应无条件更换，并重新检测、调试直至验收合格。</w:t>
      </w:r>
    </w:p>
    <w:p w14:paraId="7063DE7A">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11.2.3最终验收：初步验收合格后转入试运行3个月，</w:t>
      </w:r>
      <w:bookmarkStart w:id="12" w:name="_Hlk148267008"/>
      <w:r>
        <w:rPr>
          <w:rFonts w:hint="eastAsia" w:ascii="宋体" w:hAnsi="宋体" w:eastAsia="宋体" w:cs="宋体"/>
          <w:color w:val="333333"/>
          <w:shd w:val="clear" w:color="auto" w:fill="FFFFFF"/>
        </w:rPr>
        <w:t>试运行结束由中标人提出书面申请，采购人在7个工作日内组织相关人员对本项目进行最终验收。</w:t>
      </w:r>
      <w:bookmarkEnd w:id="12"/>
    </w:p>
    <w:p w14:paraId="187541DE">
      <w:pPr>
        <w:pStyle w:val="4"/>
        <w:widowControl/>
        <w:spacing w:beforeAutospacing="0" w:afterAutospacing="0" w:line="480" w:lineRule="atLeast"/>
        <w:ind w:firstLine="480"/>
        <w:jc w:val="both"/>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12、维保期和售后服务</w:t>
      </w:r>
    </w:p>
    <w:p w14:paraId="73EAEBC3">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12.1供应商须提供所投货物自验收合格之日起两年维保期（商务评分项维保期承诺在此基础上叠加）。维保期内非因操作不当造成需要更换的零配件及设备由中标人负责包修、包换，中标人不得收取任何费用。</w:t>
      </w:r>
    </w:p>
    <w:p w14:paraId="33FDBC57">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12.2维保期内要求现场保修的产品设备若发生问题，在保修期内提供上门维修服务及提供技术支持，设备运行发生故障时在接到使用单位故障通知后3小时内电话响应，48小时内提出对应解决方案排除故障，48小时内无法排除故障的，提供同等配置的备用产品设备以保证使用单位产品设备的正常运行，发现中标人提供的产品未能达到合同规定的技术要求，将被视为有缺陷或不合格的产品，中标人应对问题产品予以立即更换，并提供替代产品直至问题产品更换完成。</w:t>
      </w:r>
    </w:p>
    <w:p w14:paraId="216E7CD5">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12.3维保期结束后，中标人有责任(或在货物使用地区指定有能力的代理人)对货物在必要时进行定期维护和修理，更换配件时只能收配件成本费。</w:t>
      </w:r>
    </w:p>
    <w:p w14:paraId="51F70CC1">
      <w:pPr>
        <w:pStyle w:val="4"/>
        <w:widowControl/>
        <w:spacing w:beforeAutospacing="0" w:afterAutospacing="0" w:line="480" w:lineRule="atLeast"/>
        <w:ind w:firstLine="480"/>
        <w:jc w:val="both"/>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13、违约责任</w:t>
      </w:r>
    </w:p>
    <w:p w14:paraId="1BF5D49A">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13.1延期交付处理：每超期一天扣除500元的违约金，采购人有权从合同款中直接扣除违约金。</w:t>
      </w:r>
    </w:p>
    <w:p w14:paraId="307F8A7B">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13.2售后维保期内提供7×24小时服务支持。维保期内要求现场保修的产品设备若发生问题，在保修期内提供上门维修服务及提供技术支持，设备运行发生故障时在接到使用单位故障通知后3小时内电话响应，48小时内提出对应解决方案排除故障，48小时内无法排除故障的，提供同等配置的备用产品设备以保证使用单位产品设备的正常运行。中标人每违反上述要求一次，采购人有权扣除中标人2000元的履约保证金。</w:t>
      </w:r>
    </w:p>
    <w:p w14:paraId="297528AD">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13.3中标人应确保采购人的所有资料、技术文档妥善保管，不得遗失、转借、复印，不得以任何形式向第三方透露；所有解决方案和采集汇总后的数据严禁通过互联网等公共信息网络、普通邮政进行传递，严禁在连接互联网计算机上存储、处理。如因中标人的原因造成数据丢失，泄密等，中标人应承担相应的法律责任，并赔偿采购人的损失。</w:t>
      </w:r>
    </w:p>
    <w:p w14:paraId="14AA6963">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13.4因中标人原因发生重大质量事故，除依约承担赔偿责任外，还将按有关质量管理办法规定执行。同时，采购人有权解除合同，并报相关行政主管部门处罚。</w:t>
      </w:r>
    </w:p>
    <w:p w14:paraId="1AB4FB23">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13.5除招标文件中已明确的具体违约责任外，中标人出现不符合招标文件要求或服务的行为，每发现一次，采购人有权扣除中标人2000元的合同款/履约保证金。</w:t>
      </w:r>
    </w:p>
    <w:p w14:paraId="3E2A7FAF">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13.6本项目不允许中标人以任何名义和理由进行分包、转包，如有发现，采购人有权单方终止合同，且中标人必须赔偿由此给采购人带来的一切损失。</w:t>
      </w:r>
    </w:p>
    <w:p w14:paraId="3C059E1E">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13.7本招标文件未明确的其它约定事项或条款，待采购人与中标人签订合同时，由双方协商订立。</w:t>
      </w:r>
    </w:p>
    <w:p w14:paraId="0B802E07">
      <w:pPr>
        <w:pStyle w:val="4"/>
        <w:widowControl/>
        <w:spacing w:beforeAutospacing="0" w:afterAutospacing="0" w:line="480" w:lineRule="atLeast"/>
        <w:ind w:firstLine="480"/>
        <w:jc w:val="both"/>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14、违约终止合同</w:t>
      </w:r>
    </w:p>
    <w:p w14:paraId="63276F4A">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14.1在合同履行期间，若遇政府部门或上级单位出台有关该项目的政策调整，继续履行合同违反相关政策文件要求的，采购人须提前30日通知中标人终止合同，因此造成的合同解除采购人不承担违约责任。</w:t>
      </w:r>
    </w:p>
    <w:p w14:paraId="0D428996">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14.2在补救违约而采取的任何其他措施未能实现的情况下，即在采购人发出的书面违约通知后30天内（或经采购人书面确认的更长时间内）中标人仍未纠正其下述任何一种违约行为，采购人可向中标人发出书面解约通知，终止全部或部分协议：</w:t>
      </w:r>
    </w:p>
    <w:p w14:paraId="5CA90D15">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14.2.1如果中标人未能在协议约定的期限内或采购人准许的任何延期内进行服务。</w:t>
      </w:r>
    </w:p>
    <w:p w14:paraId="66589986">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14.2.2中标人未能履行协议项下的任何其它义务。</w:t>
      </w:r>
    </w:p>
    <w:p w14:paraId="769952BF">
      <w:pPr>
        <w:pStyle w:val="4"/>
        <w:widowControl/>
        <w:spacing w:beforeAutospacing="0" w:afterAutospacing="0" w:line="480" w:lineRule="atLeast"/>
        <w:ind w:firstLine="480"/>
        <w:jc w:val="both"/>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15、不可抗力</w:t>
      </w:r>
    </w:p>
    <w:p w14:paraId="3D54F030">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15.1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4EF76B69">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15.2本合同中的不可抗力指不能预见、不能避免并不能克服的客观情况。包括但不限于：自然灾害如地震、台风、洪水、火灾；政府行为、法律规定或其适用的变化或者其他任何无法预见、避免或者控制的事件。</w:t>
      </w:r>
    </w:p>
    <w:p w14:paraId="5D17A28C">
      <w:pPr>
        <w:pStyle w:val="4"/>
        <w:widowControl/>
        <w:spacing w:beforeAutospacing="0" w:afterAutospacing="0" w:line="480" w:lineRule="atLeast"/>
        <w:ind w:firstLine="480"/>
        <w:jc w:val="both"/>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16、专利权及知识产权</w:t>
      </w:r>
    </w:p>
    <w:p w14:paraId="101CA0DC">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中标人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0EBDB81B">
      <w:pPr>
        <w:pStyle w:val="4"/>
        <w:widowControl/>
        <w:spacing w:beforeAutospacing="0" w:afterAutospacing="0" w:line="480" w:lineRule="atLeast"/>
        <w:ind w:firstLine="480"/>
        <w:jc w:val="both"/>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17、进入监管区和保密有关违约责任</w:t>
      </w:r>
    </w:p>
    <w:p w14:paraId="0F9DEB28">
      <w:pPr>
        <w:pStyle w:val="4"/>
        <w:widowControl/>
        <w:spacing w:beforeAutospacing="0" w:afterAutospacing="0" w:line="480" w:lineRule="atLeast"/>
        <w:ind w:firstLine="480"/>
        <w:jc w:val="both"/>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投标人的送货人员必须遵守国家法律及采购人关于监管安全的有关规章制度。投标人以及进入监区的运输车辆、人员（运输车辆、人员相对固定），必须遵守监狱的有关制度，不得为罪犯捎带物品，传递信息，不得以任何形式帮助被监管人员提供手机、烟、酒、现金、玻璃制品、铁制品等违禁物品，否则采购人一经查实，第一次中标人支付违约金15000元给采购人，第二次采购人有权终止合同，并不予退还履约保证金；若造成严重后果，触犯刑律的，移送有关部门依法追究法律责任。不得以任何形式帮助被监管人员提供毒品、刀具、枪支等物品，若被发现并证实，直接解除合同并没收履约保证金，且移送有关部门依法追究法律责任。</w:t>
      </w:r>
    </w:p>
    <w:p w14:paraId="6BEEABB9">
      <w:pPr>
        <w:pStyle w:val="4"/>
        <w:widowControl/>
        <w:spacing w:beforeAutospacing="0" w:afterAutospacing="0" w:line="480" w:lineRule="atLeast"/>
        <w:ind w:firstLine="480"/>
        <w:jc w:val="both"/>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18、保密条款</w:t>
      </w:r>
    </w:p>
    <w:p w14:paraId="1417C8B1">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中标人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书》；中标人进入采购人工作区域的工作人员需签订《个人保密承诺书》，严格履行保密义务。中标人违反本条约定泄露采购人的涉密信息的，应承担相应的法律责任，造成采购人损失的，中标人应当依法承担赔偿责任。本条款不因合同届满或解除而失效。</w:t>
      </w:r>
    </w:p>
    <w:p w14:paraId="3365B330">
      <w:pPr>
        <w:pStyle w:val="4"/>
        <w:widowControl/>
        <w:spacing w:beforeAutospacing="0" w:afterAutospacing="0" w:line="480" w:lineRule="atLeast"/>
        <w:ind w:firstLine="480"/>
        <w:jc w:val="both"/>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19、廉政条款</w:t>
      </w:r>
    </w:p>
    <w:p w14:paraId="7F10E08D">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中标人及其工作人员不得有以任何形式行贿采购人工作人员的行为，若发现并被核查属实的，采购人有权解除合同且不退还履约保证金，情节严重的，中标人及其工作人员还要承担相应的法律责任；采购人及其工作人员不得索要或接受中标人的礼金及吃请等，如有违反廉政纪律等行为的，依据有关规定给予党纪、政纪或组织处理，情节严重的，还应承担相应的法律责任。</w:t>
      </w:r>
    </w:p>
    <w:p w14:paraId="36253636">
      <w:pPr>
        <w:pStyle w:val="4"/>
        <w:widowControl/>
        <w:spacing w:beforeAutospacing="0" w:afterAutospacing="0" w:line="480" w:lineRule="atLeast"/>
        <w:ind w:firstLine="480"/>
        <w:jc w:val="both"/>
        <w:rPr>
          <w:rFonts w:ascii="宋体" w:hAnsi="宋体" w:eastAsia="宋体" w:cs="宋体"/>
          <w:b/>
          <w:bCs/>
          <w:color w:val="333333"/>
          <w:shd w:val="clear" w:color="auto" w:fill="FFFFFF"/>
        </w:rPr>
      </w:pPr>
      <w:r>
        <w:rPr>
          <w:rFonts w:hint="eastAsia" w:ascii="宋体" w:hAnsi="宋体" w:eastAsia="宋体" w:cs="宋体"/>
          <w:b/>
          <w:bCs/>
          <w:color w:val="333333"/>
          <w:shd w:val="clear" w:color="auto" w:fill="FFFFFF"/>
        </w:rPr>
        <w:t>20、合同纠纷处理方式</w:t>
      </w:r>
    </w:p>
    <w:p w14:paraId="01128511">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20.1合同争议处理方式</w:t>
      </w:r>
    </w:p>
    <w:p w14:paraId="67967618">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采购人与中标人必须认真履行合同条款。因本合同或与本合同有关的一切事项发生争议，由双方友好协商解决，协商不成的，任何一方均可向采购人所在地人民法院提起诉讼。</w:t>
      </w:r>
    </w:p>
    <w:p w14:paraId="34D113EE">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20.2合同补充和修改</w:t>
      </w:r>
    </w:p>
    <w:p w14:paraId="252820FC">
      <w:pPr>
        <w:pStyle w:val="4"/>
        <w:widowControl/>
        <w:spacing w:beforeAutospacing="0" w:afterAutospacing="0" w:line="480" w:lineRule="atLeast"/>
        <w:ind w:firstLine="480"/>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本合同生效后，双方对合同内容的变更或补充应采取书面形式，并经双方签字并盖章确认。</w:t>
      </w:r>
    </w:p>
    <w:p w14:paraId="0A0317D4">
      <w:pPr>
        <w:pStyle w:val="4"/>
        <w:widowControl/>
        <w:spacing w:beforeAutospacing="0" w:afterAutospacing="0" w:line="480" w:lineRule="atLeast"/>
        <w:ind w:firstLine="420"/>
        <w:jc w:val="both"/>
        <w:rPr>
          <w:rFonts w:ascii="宋体" w:hAnsi="宋体" w:eastAsia="宋体" w:cs="宋体"/>
        </w:rPr>
      </w:pPr>
      <w:r>
        <w:rPr>
          <w:rStyle w:val="19"/>
          <w:rFonts w:hint="eastAsia" w:ascii="宋体" w:hAnsi="宋体" w:eastAsia="宋体" w:cs="宋体"/>
          <w:color w:val="333333"/>
          <w:u w:val="single"/>
          <w:shd w:val="clear" w:color="auto" w:fill="FFFFFF"/>
        </w:rPr>
        <w:t>★注：“三、商务条件”的条款为实质性条款，不允许负偏离。</w:t>
      </w:r>
    </w:p>
    <w:p w14:paraId="09083A4A">
      <w:pPr>
        <w:pStyle w:val="6"/>
        <w:widowControl/>
        <w:shd w:val="clear" w:color="auto" w:fill="FFFFFF"/>
        <w:spacing w:beforeAutospacing="0" w:afterAutospacing="0" w:line="480" w:lineRule="atLeast"/>
        <w:jc w:val="both"/>
        <w:rPr>
          <w:rFonts w:hint="default" w:cs="宋体"/>
          <w:color w:val="333333"/>
          <w:shd w:val="clear" w:color="auto" w:fill="FFFFFF"/>
        </w:rPr>
      </w:pPr>
    </w:p>
    <w:p w14:paraId="6A5438E3">
      <w:pPr>
        <w:pStyle w:val="6"/>
        <w:widowControl/>
        <w:shd w:val="clear" w:color="auto" w:fill="FFFFFF"/>
        <w:spacing w:beforeAutospacing="0" w:afterAutospacing="0" w:line="480" w:lineRule="atLeast"/>
        <w:jc w:val="both"/>
        <w:rPr>
          <w:rFonts w:hint="default" w:cs="宋体"/>
          <w:color w:val="333333"/>
        </w:rPr>
      </w:pPr>
      <w:r>
        <w:rPr>
          <w:rFonts w:cs="宋体"/>
          <w:color w:val="333333"/>
          <w:shd w:val="clear" w:color="auto" w:fill="FFFFFF"/>
        </w:rPr>
        <w:t>四、其他事项</w:t>
      </w:r>
    </w:p>
    <w:p w14:paraId="4C5A97FB">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1、除招标文件另有规定外，若出现有关法律、法规和规章有强制性规定但招标文件未列明的情形，则投标人应按照有关法律、法规和规章强制性规定执行。</w:t>
      </w:r>
    </w:p>
    <w:p w14:paraId="15A42A92">
      <w:pPr>
        <w:pStyle w:val="4"/>
        <w:widowControl/>
        <w:shd w:val="clear" w:color="auto" w:fill="FFFFFF"/>
        <w:spacing w:beforeAutospacing="0" w:afterAutospacing="0" w:line="480" w:lineRule="atLeast"/>
        <w:ind w:firstLine="420"/>
        <w:jc w:val="both"/>
        <w:rPr>
          <w:rFonts w:ascii="宋体" w:hAnsi="宋体" w:eastAsia="宋体" w:cs="宋体"/>
          <w:color w:val="333333"/>
        </w:rPr>
      </w:pPr>
      <w:r>
        <w:rPr>
          <w:rFonts w:hint="eastAsia" w:ascii="宋体" w:hAnsi="宋体" w:eastAsia="宋体" w:cs="宋体"/>
          <w:color w:val="333333"/>
          <w:shd w:val="clear" w:color="auto" w:fill="FFFFFF"/>
        </w:rPr>
        <w:t>2、其他：</w:t>
      </w:r>
    </w:p>
    <w:p w14:paraId="23DB0C86">
      <w:pPr>
        <w:widowControl/>
        <w:spacing w:line="420" w:lineRule="exact"/>
        <w:ind w:firstLine="480" w:firstLineChars="200"/>
        <w:jc w:val="left"/>
        <w:rPr>
          <w:rFonts w:ascii="宋体" w:hAnsi="宋体" w:eastAsia="宋体" w:cs="宋体"/>
          <w:sz w:val="24"/>
        </w:rPr>
      </w:pPr>
      <w:r>
        <w:rPr>
          <w:rFonts w:hint="eastAsia" w:ascii="宋体" w:hAnsi="宋体" w:eastAsia="宋体" w:cs="宋体"/>
          <w:sz w:val="24"/>
        </w:rPr>
        <w:t>2.1演示要求：</w:t>
      </w:r>
    </w:p>
    <w:p w14:paraId="03132723">
      <w:pPr>
        <w:widowControl/>
        <w:spacing w:line="420" w:lineRule="exact"/>
        <w:ind w:firstLine="480" w:firstLineChars="200"/>
        <w:jc w:val="left"/>
        <w:rPr>
          <w:rFonts w:ascii="宋体" w:hAnsi="宋体" w:eastAsia="宋体" w:cs="宋体"/>
          <w:sz w:val="24"/>
        </w:rPr>
      </w:pPr>
      <w:r>
        <w:rPr>
          <w:rFonts w:hint="eastAsia" w:ascii="宋体" w:hAnsi="宋体" w:eastAsia="宋体" w:cs="宋体"/>
          <w:sz w:val="24"/>
        </w:rPr>
        <w:t>2.1.1现场演示时长：不超过25分钟；</w:t>
      </w:r>
    </w:p>
    <w:p w14:paraId="0E122D70">
      <w:pPr>
        <w:widowControl/>
        <w:spacing w:line="420" w:lineRule="exact"/>
        <w:ind w:firstLine="480" w:firstLineChars="200"/>
        <w:jc w:val="left"/>
        <w:rPr>
          <w:rFonts w:ascii="宋体" w:hAnsi="宋体" w:eastAsia="宋体" w:cs="宋体"/>
          <w:sz w:val="24"/>
        </w:rPr>
      </w:pPr>
      <w:r>
        <w:rPr>
          <w:rFonts w:hint="eastAsia" w:ascii="宋体" w:hAnsi="宋体" w:eastAsia="宋体" w:cs="宋体"/>
          <w:sz w:val="24"/>
        </w:rPr>
        <w:t>2.1.2投标人需自行考虑演示所需各种设备及软件运行环境，演示现场仅向投标人提供220V电源和投影仪，其中投影仪需考虑是否与电脑匹配、是否需转换头等；</w:t>
      </w:r>
    </w:p>
    <w:p w14:paraId="39CC5DA9">
      <w:pPr>
        <w:pStyle w:val="4"/>
        <w:widowControl/>
        <w:spacing w:beforeAutospacing="0" w:afterAutospacing="0" w:line="480" w:lineRule="atLeast"/>
        <w:ind w:firstLine="420"/>
        <w:jc w:val="both"/>
        <w:rPr>
          <w:rFonts w:ascii="宋体" w:hAnsi="宋体" w:eastAsia="宋体" w:cs="宋体"/>
        </w:rPr>
      </w:pPr>
      <w:r>
        <w:rPr>
          <w:rFonts w:hint="eastAsia" w:ascii="宋体" w:hAnsi="宋体" w:eastAsia="宋体" w:cs="宋体"/>
        </w:rPr>
        <w:t>2.1.3演示人员为投标人代表或相关技术人员，演示顺序按签到顺序正顺序。</w:t>
      </w:r>
    </w:p>
    <w:p w14:paraId="1B59253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095B4E99">
      <w:pPr>
        <w:rPr>
          <w:rFonts w:ascii="宋体" w:hAnsi="宋体" w:eastAsia="宋体" w:cs="宋体"/>
          <w:color w:val="333333"/>
          <w:sz w:val="39"/>
          <w:szCs w:val="39"/>
          <w:shd w:val="clear" w:color="auto" w:fill="FFFFFF"/>
        </w:rPr>
      </w:pPr>
      <w:r>
        <w:rPr>
          <w:rFonts w:hint="eastAsia" w:ascii="宋体" w:hAnsi="宋体" w:eastAsia="宋体" w:cs="宋体"/>
          <w:color w:val="333333"/>
          <w:sz w:val="39"/>
          <w:szCs w:val="39"/>
          <w:shd w:val="clear" w:color="auto" w:fill="FFFFFF"/>
        </w:rPr>
        <w:br w:type="page"/>
      </w:r>
    </w:p>
    <w:p w14:paraId="02AA8EDD">
      <w:pPr>
        <w:pStyle w:val="8"/>
        <w:widowControl/>
        <w:shd w:val="clear" w:color="auto" w:fill="FFFFFF"/>
        <w:spacing w:beforeAutospacing="0" w:afterAutospacing="0" w:line="480" w:lineRule="atLeast"/>
        <w:jc w:val="center"/>
        <w:rPr>
          <w:rFonts w:hint="default" w:cs="宋体"/>
          <w:color w:val="333333"/>
          <w:sz w:val="39"/>
          <w:szCs w:val="39"/>
        </w:rPr>
      </w:pPr>
      <w:r>
        <w:rPr>
          <w:rFonts w:cs="宋体"/>
          <w:color w:val="333333"/>
          <w:sz w:val="39"/>
          <w:szCs w:val="39"/>
          <w:shd w:val="clear" w:color="auto" w:fill="FFFFFF"/>
        </w:rPr>
        <w:t>第六章 政府采购合同</w:t>
      </w:r>
    </w:p>
    <w:p w14:paraId="7A3C45A9">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参考文本</w:t>
      </w:r>
    </w:p>
    <w:p w14:paraId="3A975573">
      <w:pPr>
        <w:pStyle w:val="7"/>
        <w:widowControl/>
        <w:wordWrap w:val="0"/>
        <w:spacing w:beforeAutospacing="0" w:afterAutospacing="0" w:line="30" w:lineRule="atLeast"/>
        <w:jc w:val="center"/>
        <w:rPr>
          <w:rFonts w:hint="default" w:cs="宋体"/>
        </w:rPr>
      </w:pPr>
      <w:r>
        <w:rPr>
          <w:rFonts w:cs="宋体"/>
          <w:color w:val="333333"/>
          <w:shd w:val="clear" w:color="auto" w:fill="FFFFFF"/>
        </w:rPr>
        <w:t>政府采购货物买卖合同</w:t>
      </w:r>
    </w:p>
    <w:p w14:paraId="47D6D8F6">
      <w:pPr>
        <w:pStyle w:val="7"/>
        <w:widowControl/>
        <w:wordWrap w:val="0"/>
        <w:spacing w:beforeAutospacing="0" w:afterAutospacing="0" w:line="30" w:lineRule="atLeast"/>
        <w:jc w:val="center"/>
        <w:rPr>
          <w:rFonts w:hint="default" w:cs="宋体"/>
        </w:rPr>
      </w:pPr>
      <w:r>
        <w:rPr>
          <w:rFonts w:cs="宋体"/>
          <w:color w:val="333333"/>
          <w:shd w:val="clear" w:color="auto" w:fill="FFFFFF"/>
        </w:rPr>
        <w:t>（试行）</w:t>
      </w:r>
    </w:p>
    <w:p w14:paraId="31600C2E">
      <w:pPr>
        <w:pStyle w:val="4"/>
        <w:widowControl/>
        <w:wordWrap w:val="0"/>
        <w:spacing w:beforeAutospacing="0" w:afterAutospacing="0" w:line="38" w:lineRule="atLeast"/>
        <w:ind w:firstLine="420"/>
        <w:jc w:val="both"/>
        <w:rPr>
          <w:rFonts w:ascii="宋体" w:hAnsi="宋体" w:eastAsia="宋体" w:cs="宋体"/>
          <w:b/>
          <w:bCs/>
          <w:sz w:val="31"/>
          <w:szCs w:val="31"/>
        </w:rPr>
      </w:pPr>
      <w:r>
        <w:rPr>
          <w:rFonts w:hint="eastAsia" w:ascii="宋体" w:hAnsi="宋体" w:eastAsia="宋体" w:cs="宋体"/>
          <w:b/>
          <w:bCs/>
          <w:color w:val="333333"/>
          <w:sz w:val="31"/>
          <w:szCs w:val="31"/>
          <w:shd w:val="clear" w:color="auto" w:fill="FFFFFF"/>
        </w:rPr>
        <w:t>项目名称： </w:t>
      </w:r>
      <w:r>
        <w:rPr>
          <w:rFonts w:hint="eastAsia" w:ascii="宋体" w:hAnsi="宋体" w:eastAsia="宋体" w:cs="宋体"/>
          <w:b/>
          <w:bCs/>
          <w:color w:val="333333"/>
          <w:shd w:val="clear" w:color="auto" w:fill="FFFFFF"/>
        </w:rPr>
        <w:t>__________________________</w:t>
      </w:r>
    </w:p>
    <w:p w14:paraId="0FCBDDE1">
      <w:pPr>
        <w:pStyle w:val="4"/>
        <w:widowControl/>
        <w:wordWrap w:val="0"/>
        <w:spacing w:beforeAutospacing="0" w:afterAutospacing="0" w:line="38" w:lineRule="atLeast"/>
        <w:ind w:firstLine="420"/>
        <w:jc w:val="both"/>
        <w:rPr>
          <w:rFonts w:ascii="宋体" w:hAnsi="宋体" w:eastAsia="宋体" w:cs="宋体"/>
          <w:b/>
          <w:bCs/>
          <w:sz w:val="31"/>
          <w:szCs w:val="31"/>
        </w:rPr>
      </w:pPr>
      <w:r>
        <w:rPr>
          <w:rFonts w:hint="eastAsia" w:ascii="宋体" w:hAnsi="宋体" w:eastAsia="宋体" w:cs="宋体"/>
          <w:b/>
          <w:bCs/>
          <w:color w:val="333333"/>
          <w:sz w:val="31"/>
          <w:szCs w:val="31"/>
          <w:shd w:val="clear" w:color="auto" w:fill="FFFFFF"/>
        </w:rPr>
        <w:t>合同编号：</w:t>
      </w:r>
      <w:r>
        <w:rPr>
          <w:rFonts w:hint="eastAsia" w:ascii="宋体" w:hAnsi="宋体" w:eastAsia="宋体" w:cs="宋体"/>
          <w:b/>
          <w:bCs/>
          <w:color w:val="333333"/>
          <w:shd w:val="clear" w:color="auto" w:fill="FFFFFF"/>
        </w:rPr>
        <w:t> __________________________</w:t>
      </w:r>
    </w:p>
    <w:p w14:paraId="026D217C">
      <w:pPr>
        <w:pStyle w:val="4"/>
        <w:widowControl/>
        <w:wordWrap w:val="0"/>
        <w:spacing w:beforeAutospacing="0" w:afterAutospacing="0" w:line="38" w:lineRule="atLeast"/>
        <w:ind w:firstLine="420"/>
        <w:jc w:val="both"/>
        <w:rPr>
          <w:rFonts w:ascii="宋体" w:hAnsi="宋体" w:eastAsia="宋体" w:cs="宋体"/>
          <w:b/>
          <w:bCs/>
          <w:sz w:val="31"/>
          <w:szCs w:val="31"/>
        </w:rPr>
      </w:pPr>
      <w:r>
        <w:rPr>
          <w:rFonts w:hint="eastAsia" w:ascii="宋体" w:hAnsi="宋体" w:eastAsia="宋体" w:cs="宋体"/>
          <w:b/>
          <w:bCs/>
          <w:color w:val="333333"/>
          <w:sz w:val="31"/>
          <w:szCs w:val="31"/>
          <w:shd w:val="clear" w:color="auto" w:fill="FFFFFF"/>
        </w:rPr>
        <w:t>甲   方： </w:t>
      </w:r>
      <w:r>
        <w:rPr>
          <w:rFonts w:hint="eastAsia" w:ascii="宋体" w:hAnsi="宋体" w:eastAsia="宋体" w:cs="宋体"/>
          <w:b/>
          <w:bCs/>
          <w:color w:val="333333"/>
          <w:shd w:val="clear" w:color="auto" w:fill="FFFFFF"/>
        </w:rPr>
        <w:t>__________________________</w:t>
      </w:r>
    </w:p>
    <w:p w14:paraId="33162ADE">
      <w:pPr>
        <w:pStyle w:val="4"/>
        <w:widowControl/>
        <w:wordWrap w:val="0"/>
        <w:spacing w:beforeAutospacing="0" w:afterAutospacing="0" w:line="38" w:lineRule="atLeast"/>
        <w:ind w:firstLine="420"/>
        <w:jc w:val="both"/>
        <w:rPr>
          <w:rFonts w:ascii="宋体" w:hAnsi="宋体" w:eastAsia="宋体" w:cs="宋体"/>
          <w:b/>
          <w:bCs/>
          <w:sz w:val="31"/>
          <w:szCs w:val="31"/>
        </w:rPr>
      </w:pPr>
      <w:r>
        <w:rPr>
          <w:rFonts w:hint="eastAsia" w:ascii="宋体" w:hAnsi="宋体" w:eastAsia="宋体" w:cs="宋体"/>
          <w:b/>
          <w:bCs/>
          <w:color w:val="333333"/>
          <w:sz w:val="31"/>
          <w:szCs w:val="31"/>
          <w:shd w:val="clear" w:color="auto" w:fill="FFFFFF"/>
        </w:rPr>
        <w:t>乙   方：</w:t>
      </w:r>
      <w:r>
        <w:rPr>
          <w:rFonts w:hint="eastAsia" w:ascii="宋体" w:hAnsi="宋体" w:eastAsia="宋体" w:cs="宋体"/>
          <w:b/>
          <w:bCs/>
          <w:color w:val="333333"/>
          <w:shd w:val="clear" w:color="auto" w:fill="FFFFFF"/>
        </w:rPr>
        <w:t>__________________________</w:t>
      </w:r>
    </w:p>
    <w:p w14:paraId="0E149783">
      <w:pPr>
        <w:pStyle w:val="4"/>
        <w:widowControl/>
        <w:wordWrap w:val="0"/>
        <w:spacing w:beforeAutospacing="0" w:afterAutospacing="0" w:line="38" w:lineRule="atLeast"/>
        <w:ind w:firstLine="420"/>
        <w:jc w:val="both"/>
        <w:rPr>
          <w:rFonts w:ascii="宋体" w:hAnsi="宋体" w:eastAsia="宋体" w:cs="宋体"/>
          <w:b/>
          <w:bCs/>
          <w:sz w:val="31"/>
          <w:szCs w:val="31"/>
        </w:rPr>
      </w:pPr>
      <w:r>
        <w:rPr>
          <w:rFonts w:hint="eastAsia" w:ascii="宋体" w:hAnsi="宋体" w:eastAsia="宋体" w:cs="宋体"/>
          <w:b/>
          <w:bCs/>
          <w:color w:val="333333"/>
          <w:sz w:val="31"/>
          <w:szCs w:val="31"/>
          <w:shd w:val="clear" w:color="auto" w:fill="FFFFFF"/>
        </w:rPr>
        <w:t>签订时间：</w:t>
      </w:r>
      <w:r>
        <w:rPr>
          <w:rFonts w:hint="eastAsia" w:ascii="宋体" w:hAnsi="宋体" w:eastAsia="宋体" w:cs="宋体"/>
          <w:b/>
          <w:bCs/>
          <w:color w:val="333333"/>
          <w:shd w:val="clear" w:color="auto" w:fill="FFFFFF"/>
        </w:rPr>
        <w:t> __________________________</w:t>
      </w:r>
    </w:p>
    <w:p w14:paraId="72976588">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 </w:t>
      </w:r>
    </w:p>
    <w:p w14:paraId="6A9CBCE7">
      <w:pPr>
        <w:pStyle w:val="8"/>
        <w:widowControl/>
        <w:wordWrap w:val="0"/>
        <w:spacing w:beforeAutospacing="0" w:after="300" w:afterAutospacing="0" w:line="30" w:lineRule="atLeast"/>
        <w:jc w:val="center"/>
        <w:rPr>
          <w:rFonts w:hint="default" w:cs="宋体"/>
        </w:rPr>
      </w:pPr>
      <w:r>
        <w:rPr>
          <w:rFonts w:cs="宋体"/>
          <w:color w:val="333333"/>
          <w:shd w:val="clear" w:color="auto" w:fill="FFFFFF"/>
        </w:rPr>
        <w:t>使用说明</w:t>
      </w:r>
    </w:p>
    <w:p w14:paraId="156FCA47">
      <w:pPr>
        <w:pStyle w:val="9"/>
        <w:widowControl/>
        <w:wordWrap w:val="0"/>
        <w:spacing w:beforeAutospacing="0" w:afterAutospacing="0" w:line="30" w:lineRule="atLeast"/>
        <w:rPr>
          <w:rFonts w:hint="default" w:cs="宋体"/>
        </w:rPr>
      </w:pPr>
      <w:r>
        <w:rPr>
          <w:rFonts w:cs="宋体"/>
          <w:color w:val="333333"/>
          <w:shd w:val="clear" w:color="auto" w:fill="FFFFFF"/>
        </w:rPr>
        <w:t>1.本合同标准文本适用于购买现成货物的采购项目，不包括需要供应商定制开发、创新研发的货物采购项目。</w:t>
      </w:r>
    </w:p>
    <w:p w14:paraId="621CBF2E">
      <w:pPr>
        <w:pStyle w:val="9"/>
        <w:widowControl/>
        <w:wordWrap w:val="0"/>
        <w:spacing w:beforeAutospacing="0" w:afterAutospacing="0" w:line="30" w:lineRule="atLeast"/>
        <w:rPr>
          <w:rFonts w:hint="default" w:cs="宋体"/>
        </w:rPr>
      </w:pPr>
      <w:r>
        <w:rPr>
          <w:rFonts w:cs="宋体"/>
          <w:color w:val="333333"/>
          <w:shd w:val="clear" w:color="auto" w:fill="FFFFFF"/>
        </w:rPr>
        <w:t>2.本合同标准文本为政府采购货物买卖合同编制提供参考，可以结合采购项目具体情况，对文本作必要的调整修订后使用。</w:t>
      </w:r>
    </w:p>
    <w:p w14:paraId="2D9D10D8">
      <w:pPr>
        <w:pStyle w:val="9"/>
        <w:widowControl/>
        <w:wordWrap w:val="0"/>
        <w:spacing w:beforeAutospacing="0" w:afterAutospacing="0" w:line="30" w:lineRule="atLeast"/>
        <w:rPr>
          <w:rFonts w:hint="default" w:cs="宋体"/>
        </w:rPr>
      </w:pPr>
      <w:r>
        <w:rPr>
          <w:rFonts w:cs="宋体"/>
          <w:color w:val="333333"/>
          <w:shd w:val="clear" w:color="auto" w:fill="FFFFFF"/>
        </w:rPr>
        <w:t>3.本合同标准文本各条款中，如涉及填写多家供应商、制造商，多种采购标的、分包主要内容等信息的，可根据采购项目具体情况添加信息项。</w:t>
      </w:r>
    </w:p>
    <w:p w14:paraId="38E4ED0D">
      <w:pPr>
        <w:pStyle w:val="8"/>
        <w:widowControl/>
        <w:wordWrap w:val="0"/>
        <w:spacing w:beforeAutospacing="0" w:after="300" w:afterAutospacing="0" w:line="30" w:lineRule="atLeast"/>
        <w:jc w:val="center"/>
        <w:rPr>
          <w:rFonts w:hint="default" w:cs="宋体"/>
        </w:rPr>
      </w:pPr>
      <w:r>
        <w:rPr>
          <w:rFonts w:cs="宋体"/>
          <w:color w:val="333333"/>
          <w:shd w:val="clear" w:color="auto" w:fill="FFFFFF"/>
        </w:rPr>
        <w:t>第一节 政府采购合同协议书</w:t>
      </w:r>
    </w:p>
    <w:p w14:paraId="70A615E2">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甲方（全称）：___________________________（采购人、受采购人委托签订合同的单位或采购文件约定的合同甲方）</w:t>
      </w:r>
    </w:p>
    <w:p w14:paraId="681CC988">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乙方1（全称）：___________________________（供应商）</w:t>
      </w:r>
    </w:p>
    <w:p w14:paraId="78D61C4F">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乙方2（全称）：___________________________（联合体成员供应商或其他合同主体）（如有）</w:t>
      </w:r>
    </w:p>
    <w:p w14:paraId="431769BF">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乙方3（全称）：___________________________（联合体成员供应商或其他合同主体）（如有）</w:t>
      </w:r>
    </w:p>
    <w:p w14:paraId="266ACA70">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5501AD27">
      <w:pPr>
        <w:pStyle w:val="6"/>
        <w:widowControl/>
        <w:wordWrap w:val="0"/>
        <w:spacing w:beforeAutospacing="0" w:afterAutospacing="0" w:line="30" w:lineRule="atLeast"/>
        <w:rPr>
          <w:rFonts w:hint="default" w:cs="宋体"/>
        </w:rPr>
      </w:pPr>
      <w:r>
        <w:rPr>
          <w:rFonts w:cs="宋体"/>
          <w:color w:val="333333"/>
          <w:shd w:val="clear" w:color="auto" w:fill="FFFFFF"/>
        </w:rPr>
        <w:t>1.项目信息</w:t>
      </w:r>
    </w:p>
    <w:p w14:paraId="375B26F5">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(1)采购项目名称：___________________________</w:t>
      </w:r>
    </w:p>
    <w:p w14:paraId="2B992285">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采购项目编号：____________________________</w:t>
      </w:r>
    </w:p>
    <w:p w14:paraId="5E10E076">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(2)采购计划编号：___________________________</w:t>
      </w:r>
    </w:p>
    <w:p w14:paraId="35D9BB9F">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(3)项目内容：</w:t>
      </w:r>
    </w:p>
    <w:p w14:paraId="2C475C94">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采购标的及数量（台/套/个/架/组等）：___________________</w:t>
      </w:r>
    </w:p>
    <w:p w14:paraId="1D8430F3">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品牌： ___________________ 规格型号：___________________</w:t>
      </w:r>
    </w:p>
    <w:p w14:paraId="3999A798">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采购标的的技术要求、商务要求具体见附件。</w:t>
      </w:r>
    </w:p>
    <w:p w14:paraId="3EBB2A10">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①涉及信息类产品，请填写该产品关键部件的品牌、型号：</w:t>
      </w:r>
    </w:p>
    <w:p w14:paraId="451CAEA3">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标的名称： ___________________</w:t>
      </w:r>
    </w:p>
    <w:p w14:paraId="0AC201A7">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关键部件： ___________________ 品牌：___________________ 型号： ___________________</w:t>
      </w:r>
    </w:p>
    <w:p w14:paraId="6BE5E5B0">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关键部件： ___________________ 品牌：___________________ 型号： ___________________</w:t>
      </w:r>
    </w:p>
    <w:p w14:paraId="4E1C5E0E">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关键部件： ___________________ 品牌：___________________ 型号： ___________________</w:t>
      </w:r>
    </w:p>
    <w:p w14:paraId="3958A493">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（注：关键部件是指财政部会同有关部门发布的政府采购需求标准规定的需要通过国家有关部门指定的测评机构开展的安全可靠测评的软硬件，如CPU芯片、操作系统、数据库等。）</w:t>
      </w:r>
    </w:p>
    <w:p w14:paraId="4372C091">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②涉及车辆采购，请填写是否属于新能源汽车：</w:t>
      </w:r>
    </w:p>
    <w:p w14:paraId="4C9E2626">
      <w:pPr>
        <w:pStyle w:val="4"/>
        <w:widowControl/>
        <w:wordWrap w:val="0"/>
        <w:spacing w:beforeAutospacing="0" w:afterAutospacing="0" w:line="19" w:lineRule="atLeast"/>
        <w:ind w:firstLine="420"/>
        <w:jc w:val="both"/>
        <w:rPr>
          <w:rFonts w:ascii="宋体" w:hAnsi="宋体" w:eastAsia="宋体" w:cs="宋体"/>
        </w:rPr>
      </w:pPr>
      <w:r>
        <w:rPr>
          <w:rFonts w:hint="eastAsia" w:ascii="宋体" w:hAnsi="宋体" w:eastAsia="宋体" w:cs="宋体"/>
          <w:color w:val="333333"/>
          <w:shd w:val="clear" w:color="auto" w:fill="FFFFFF"/>
        </w:rPr>
        <w:t> 是，《政府采购品目分类目录》底级品目名称：__________  数量：__________  金额：__________</w:t>
      </w:r>
    </w:p>
    <w:p w14:paraId="440B5DE9">
      <w:pPr>
        <w:pStyle w:val="4"/>
        <w:widowControl/>
        <w:wordWrap w:val="0"/>
        <w:spacing w:beforeAutospacing="0" w:afterAutospacing="0" w:line="19" w:lineRule="atLeast"/>
        <w:ind w:firstLine="420"/>
        <w:jc w:val="both"/>
        <w:rPr>
          <w:rFonts w:ascii="宋体" w:hAnsi="宋体" w:eastAsia="宋体" w:cs="宋体"/>
        </w:rPr>
      </w:pPr>
      <w:r>
        <w:rPr>
          <w:rFonts w:hint="eastAsia" w:ascii="宋体" w:hAnsi="宋体" w:eastAsia="宋体" w:cs="宋体"/>
          <w:color w:val="333333"/>
          <w:shd w:val="clear" w:color="auto" w:fill="FFFFFF"/>
        </w:rPr>
        <w:t> 否</w:t>
      </w:r>
    </w:p>
    <w:p w14:paraId="03BDE5E0">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(4)政府采购组织形式：政府集中采购 部门集中采购 分散采购</w:t>
      </w:r>
    </w:p>
    <w:p w14:paraId="08AF9E86">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(5)政府采购方式：公开招标 邀请招标 竞争性谈判 竞争性磋商询价 单一来源 框架协议 其他：____________________</w:t>
      </w:r>
    </w:p>
    <w:p w14:paraId="1F557E90">
      <w:pPr>
        <w:pStyle w:val="4"/>
        <w:widowControl/>
        <w:wordWrap w:val="0"/>
        <w:spacing w:beforeAutospacing="0" w:afterAutospacing="0" w:line="19" w:lineRule="atLeast"/>
        <w:ind w:firstLine="420"/>
        <w:jc w:val="both"/>
        <w:rPr>
          <w:rFonts w:ascii="宋体" w:hAnsi="宋体" w:eastAsia="宋体" w:cs="宋体"/>
        </w:rPr>
      </w:pPr>
      <w:r>
        <w:rPr>
          <w:rFonts w:hint="eastAsia" w:ascii="宋体" w:hAnsi="宋体" w:eastAsia="宋体" w:cs="宋体"/>
          <w:color w:val="333333"/>
          <w:shd w:val="clear" w:color="auto" w:fill="FFFFFF"/>
        </w:rPr>
        <w:t>(6)中标（成交）采购标的制造商是否为中小企业：是否</w:t>
      </w:r>
    </w:p>
    <w:p w14:paraId="08EFEC43">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本合同是否为专门面向中小企业的采购合同（中小企业预留合同）：是否</w:t>
      </w:r>
    </w:p>
    <w:p w14:paraId="6D3F7FCE">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若本项目不专门面向中小企业采购，是否给予小微企业评审优惠：是否</w:t>
      </w:r>
    </w:p>
    <w:p w14:paraId="2B8C5507">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中标（成交）采购标的制造商是否为残疾人福利性单位：是否</w:t>
      </w:r>
    </w:p>
    <w:p w14:paraId="2E6C40A4">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中标（成交）采购标的制造商是否为监狱企业：是否</w:t>
      </w:r>
    </w:p>
    <w:p w14:paraId="738B0B7F">
      <w:pPr>
        <w:pStyle w:val="4"/>
        <w:widowControl/>
        <w:wordWrap w:val="0"/>
        <w:spacing w:beforeAutospacing="0" w:afterAutospacing="0" w:line="19" w:lineRule="atLeast"/>
        <w:ind w:firstLine="420"/>
        <w:jc w:val="both"/>
        <w:rPr>
          <w:rFonts w:ascii="宋体" w:hAnsi="宋体" w:eastAsia="宋体" w:cs="宋体"/>
        </w:rPr>
      </w:pPr>
      <w:r>
        <w:rPr>
          <w:rFonts w:hint="eastAsia" w:ascii="宋体" w:hAnsi="宋体" w:eastAsia="宋体" w:cs="宋体"/>
          <w:color w:val="333333"/>
          <w:shd w:val="clear" w:color="auto" w:fill="FFFFFF"/>
        </w:rPr>
        <w:t>(7)合同是否分包：是否</w:t>
      </w:r>
    </w:p>
    <w:p w14:paraId="263BE8C1">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分包主要内容：________________________________________</w:t>
      </w:r>
    </w:p>
    <w:p w14:paraId="19F0D06F">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分包供应商/制造商名称（如供应商和制造商不同，请分别填写）：</w:t>
      </w:r>
    </w:p>
    <w:p w14:paraId="7C7D1ED7">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________________________________________</w:t>
      </w:r>
    </w:p>
    <w:p w14:paraId="3FF18D9B">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分包供应商/制造商类型（如果供应商和制造商不同，只填写制造商类型）：</w:t>
      </w:r>
    </w:p>
    <w:p w14:paraId="5A3A7E91">
      <w:pPr>
        <w:pStyle w:val="4"/>
        <w:widowControl/>
        <w:wordWrap w:val="0"/>
        <w:spacing w:beforeAutospacing="0" w:afterAutospacing="0" w:line="19" w:lineRule="atLeast"/>
        <w:ind w:firstLine="420"/>
        <w:jc w:val="both"/>
        <w:rPr>
          <w:rFonts w:ascii="宋体" w:hAnsi="宋体" w:eastAsia="宋体" w:cs="宋体"/>
        </w:rPr>
      </w:pPr>
      <w:r>
        <w:rPr>
          <w:rFonts w:hint="eastAsia" w:ascii="宋体" w:hAnsi="宋体" w:eastAsia="宋体" w:cs="宋体"/>
          <w:color w:val="333333"/>
          <w:shd w:val="clear" w:color="auto" w:fill="FFFFFF"/>
        </w:rPr>
        <w:t>大型企业中型企业小微型企业</w:t>
      </w:r>
    </w:p>
    <w:p w14:paraId="65862FDF">
      <w:pPr>
        <w:pStyle w:val="4"/>
        <w:widowControl/>
        <w:wordWrap w:val="0"/>
        <w:spacing w:beforeAutospacing="0" w:afterAutospacing="0" w:line="19" w:lineRule="atLeast"/>
        <w:ind w:firstLine="420"/>
        <w:jc w:val="both"/>
        <w:rPr>
          <w:rFonts w:ascii="宋体" w:hAnsi="宋体" w:eastAsia="宋体" w:cs="宋体"/>
        </w:rPr>
      </w:pPr>
      <w:r>
        <w:rPr>
          <w:rFonts w:hint="eastAsia" w:ascii="宋体" w:hAnsi="宋体" w:eastAsia="宋体" w:cs="宋体"/>
          <w:color w:val="333333"/>
          <w:shd w:val="clear" w:color="auto" w:fill="FFFFFF"/>
        </w:rPr>
        <w:t>残疾人福利性单位监狱企业其他</w:t>
      </w:r>
    </w:p>
    <w:p w14:paraId="0166DC84">
      <w:pPr>
        <w:pStyle w:val="4"/>
        <w:widowControl/>
        <w:wordWrap w:val="0"/>
        <w:spacing w:beforeAutospacing="0" w:afterAutospacing="0" w:line="19" w:lineRule="atLeast"/>
        <w:ind w:firstLine="420"/>
        <w:jc w:val="both"/>
        <w:rPr>
          <w:rFonts w:ascii="宋体" w:hAnsi="宋体" w:eastAsia="宋体" w:cs="宋体"/>
        </w:rPr>
      </w:pPr>
      <w:r>
        <w:rPr>
          <w:rFonts w:hint="eastAsia" w:ascii="宋体" w:hAnsi="宋体" w:eastAsia="宋体" w:cs="宋体"/>
          <w:color w:val="333333"/>
          <w:shd w:val="clear" w:color="auto" w:fill="FFFFFF"/>
        </w:rPr>
        <w:t>(8)中标（成交）供应商是否为外商投资企业：是否</w:t>
      </w:r>
    </w:p>
    <w:p w14:paraId="26E4D4EB">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外商投资企业类型：全部由外国投资者投资部分由外国投资者投资</w:t>
      </w:r>
    </w:p>
    <w:p w14:paraId="6DD5CBE9">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（9）是否涉及进口产品：</w:t>
      </w:r>
    </w:p>
    <w:p w14:paraId="1710B219">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 是，《政府采购品目分类目录》底级品目名称：__________  金额：__________</w:t>
      </w:r>
    </w:p>
    <w:p w14:paraId="13113F32">
      <w:pPr>
        <w:pStyle w:val="4"/>
        <w:widowControl/>
        <w:wordWrap w:val="0"/>
        <w:spacing w:beforeAutospacing="0" w:afterAutospacing="0" w:line="19" w:lineRule="atLeast"/>
        <w:ind w:firstLine="1260"/>
        <w:jc w:val="both"/>
        <w:rPr>
          <w:rFonts w:ascii="宋体" w:hAnsi="宋体" w:eastAsia="宋体" w:cs="宋体"/>
        </w:rPr>
      </w:pPr>
      <w:r>
        <w:rPr>
          <w:rFonts w:hint="eastAsia" w:ascii="宋体" w:hAnsi="宋体" w:eastAsia="宋体" w:cs="宋体"/>
          <w:color w:val="333333"/>
          <w:shd w:val="clear" w:color="auto" w:fill="FFFFFF"/>
        </w:rPr>
        <w:t>国别：__________  品牌：__________  规格型号__________</w:t>
      </w:r>
    </w:p>
    <w:p w14:paraId="10D2B80C">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 否</w:t>
      </w:r>
    </w:p>
    <w:p w14:paraId="07CB5867">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（10）是否涉及节能产品：</w:t>
      </w:r>
    </w:p>
    <w:p w14:paraId="64F58255">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 是，《节能产品政府采购品目清单》的底级品目名称：__________</w:t>
      </w:r>
    </w:p>
    <w:p w14:paraId="6341A46D">
      <w:pPr>
        <w:pStyle w:val="4"/>
        <w:widowControl/>
        <w:wordWrap w:val="0"/>
        <w:spacing w:beforeAutospacing="0" w:afterAutospacing="0" w:line="19" w:lineRule="atLeast"/>
        <w:ind w:firstLine="1260"/>
        <w:jc w:val="both"/>
        <w:rPr>
          <w:rFonts w:ascii="宋体" w:hAnsi="宋体" w:eastAsia="宋体" w:cs="宋体"/>
        </w:rPr>
      </w:pPr>
      <w:r>
        <w:rPr>
          <w:rFonts w:hint="eastAsia" w:ascii="宋体" w:hAnsi="宋体" w:eastAsia="宋体" w:cs="宋体"/>
          <w:color w:val="333333"/>
          <w:shd w:val="clear" w:color="auto" w:fill="FFFFFF"/>
        </w:rPr>
        <w:t> 强制采购          优先采购</w:t>
      </w:r>
    </w:p>
    <w:p w14:paraId="3BABB191">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 否</w:t>
      </w:r>
    </w:p>
    <w:p w14:paraId="5C236128">
      <w:pPr>
        <w:pStyle w:val="4"/>
        <w:widowControl/>
        <w:wordWrap w:val="0"/>
        <w:spacing w:beforeAutospacing="0" w:afterAutospacing="0" w:line="38" w:lineRule="atLeast"/>
        <w:ind w:firstLine="840"/>
        <w:jc w:val="both"/>
        <w:rPr>
          <w:rFonts w:ascii="宋体" w:hAnsi="宋体" w:eastAsia="宋体" w:cs="宋体"/>
        </w:rPr>
      </w:pPr>
      <w:r>
        <w:rPr>
          <w:rFonts w:hint="eastAsia" w:ascii="宋体" w:hAnsi="宋体" w:eastAsia="宋体" w:cs="宋体"/>
          <w:color w:val="333333"/>
          <w:shd w:val="clear" w:color="auto" w:fill="FFFFFF"/>
        </w:rPr>
        <w:t>是否涉及环境标志产品：</w:t>
      </w:r>
    </w:p>
    <w:p w14:paraId="4AFA6455">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 是，《环境标志产品政府采购品目清单》的底级品目名称：__________</w:t>
      </w:r>
    </w:p>
    <w:p w14:paraId="0CAE28CE">
      <w:pPr>
        <w:pStyle w:val="4"/>
        <w:widowControl/>
        <w:wordWrap w:val="0"/>
        <w:spacing w:beforeAutospacing="0" w:afterAutospacing="0" w:line="19" w:lineRule="atLeast"/>
        <w:ind w:firstLine="1260"/>
        <w:jc w:val="both"/>
        <w:rPr>
          <w:rFonts w:ascii="宋体" w:hAnsi="宋体" w:eastAsia="宋体" w:cs="宋体"/>
        </w:rPr>
      </w:pPr>
      <w:r>
        <w:rPr>
          <w:rFonts w:hint="eastAsia" w:ascii="宋体" w:hAnsi="宋体" w:eastAsia="宋体" w:cs="宋体"/>
          <w:color w:val="333333"/>
          <w:shd w:val="clear" w:color="auto" w:fill="FFFFFF"/>
        </w:rPr>
        <w:t> 强制采购          优先采购</w:t>
      </w:r>
    </w:p>
    <w:p w14:paraId="2D9446BE">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 否</w:t>
      </w:r>
    </w:p>
    <w:p w14:paraId="61E0CA74">
      <w:pPr>
        <w:pStyle w:val="4"/>
        <w:widowControl/>
        <w:wordWrap w:val="0"/>
        <w:spacing w:beforeAutospacing="0" w:afterAutospacing="0" w:line="38" w:lineRule="atLeast"/>
        <w:ind w:firstLine="840"/>
        <w:jc w:val="both"/>
        <w:rPr>
          <w:rFonts w:ascii="宋体" w:hAnsi="宋体" w:eastAsia="宋体" w:cs="宋体"/>
        </w:rPr>
      </w:pPr>
      <w:r>
        <w:rPr>
          <w:rFonts w:hint="eastAsia" w:ascii="宋体" w:hAnsi="宋体" w:eastAsia="宋体" w:cs="宋体"/>
          <w:color w:val="333333"/>
          <w:shd w:val="clear" w:color="auto" w:fill="FFFFFF"/>
        </w:rPr>
        <w:t>是否涉及绿色产品：</w:t>
      </w:r>
    </w:p>
    <w:p w14:paraId="2367DEDC">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 是，绿色产品政府采购相关政策确定的底级品目名称：__________</w:t>
      </w:r>
    </w:p>
    <w:p w14:paraId="69D96103">
      <w:pPr>
        <w:pStyle w:val="4"/>
        <w:widowControl/>
        <w:wordWrap w:val="0"/>
        <w:spacing w:beforeAutospacing="0" w:afterAutospacing="0" w:line="19" w:lineRule="atLeast"/>
        <w:ind w:firstLine="1260"/>
        <w:jc w:val="both"/>
        <w:rPr>
          <w:rFonts w:ascii="宋体" w:hAnsi="宋体" w:eastAsia="宋体" w:cs="宋体"/>
        </w:rPr>
      </w:pPr>
      <w:r>
        <w:rPr>
          <w:rFonts w:hint="eastAsia" w:ascii="宋体" w:hAnsi="宋体" w:eastAsia="宋体" w:cs="宋体"/>
          <w:color w:val="333333"/>
          <w:shd w:val="clear" w:color="auto" w:fill="FFFFFF"/>
        </w:rPr>
        <w:t> 强制采购          优先采购</w:t>
      </w:r>
    </w:p>
    <w:p w14:paraId="1F0E9D75">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 否</w:t>
      </w:r>
    </w:p>
    <w:p w14:paraId="4B058628">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(11)涉及商品包装和快递包装的，是否参考《商品包装政府采购需求标准（试行）》、《快递包装政府采购需求标准（试行）》明确产品及相关快递服务的具体包装要求：</w:t>
      </w:r>
    </w:p>
    <w:p w14:paraId="7FF8DD6A">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是         否        不涉及</w:t>
      </w:r>
    </w:p>
    <w:p w14:paraId="2A33F471">
      <w:pPr>
        <w:pStyle w:val="6"/>
        <w:widowControl/>
        <w:wordWrap w:val="0"/>
        <w:spacing w:beforeAutospacing="0" w:afterAutospacing="0" w:line="30" w:lineRule="atLeast"/>
        <w:rPr>
          <w:rFonts w:hint="default" w:cs="宋体"/>
        </w:rPr>
      </w:pPr>
      <w:r>
        <w:rPr>
          <w:rFonts w:cs="宋体"/>
          <w:color w:val="333333"/>
          <w:shd w:val="clear" w:color="auto" w:fill="FFFFFF"/>
        </w:rPr>
        <w:t>2.合同金额</w:t>
      </w:r>
    </w:p>
    <w:p w14:paraId="30BF5D5C">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（1）合同金额小写：____________________</w:t>
      </w:r>
    </w:p>
    <w:p w14:paraId="561EA8F2">
      <w:pPr>
        <w:pStyle w:val="4"/>
        <w:widowControl/>
        <w:wordWrap w:val="0"/>
        <w:spacing w:beforeAutospacing="0" w:afterAutospacing="0" w:line="38" w:lineRule="atLeast"/>
        <w:ind w:firstLine="1980"/>
        <w:jc w:val="both"/>
        <w:rPr>
          <w:rFonts w:ascii="宋体" w:hAnsi="宋体" w:eastAsia="宋体" w:cs="宋体"/>
        </w:rPr>
      </w:pPr>
      <w:r>
        <w:rPr>
          <w:rFonts w:hint="eastAsia" w:ascii="宋体" w:hAnsi="宋体" w:eastAsia="宋体" w:cs="宋体"/>
          <w:color w:val="333333"/>
          <w:shd w:val="clear" w:color="auto" w:fill="FFFFFF"/>
        </w:rPr>
        <w:t>大写：____________________</w:t>
      </w:r>
    </w:p>
    <w:p w14:paraId="0684B719">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  分包金额（如有）小写：____________________</w:t>
      </w:r>
    </w:p>
    <w:p w14:paraId="7FFA50FB">
      <w:pPr>
        <w:pStyle w:val="4"/>
        <w:widowControl/>
        <w:wordWrap w:val="0"/>
        <w:spacing w:beforeAutospacing="0" w:afterAutospacing="0" w:line="38" w:lineRule="atLeast"/>
        <w:ind w:firstLine="2820"/>
        <w:jc w:val="both"/>
        <w:rPr>
          <w:rFonts w:ascii="宋体" w:hAnsi="宋体" w:eastAsia="宋体" w:cs="宋体"/>
        </w:rPr>
      </w:pPr>
      <w:r>
        <w:rPr>
          <w:rFonts w:hint="eastAsia" w:ascii="宋体" w:hAnsi="宋体" w:eastAsia="宋体" w:cs="宋体"/>
          <w:color w:val="333333"/>
          <w:shd w:val="clear" w:color="auto" w:fill="FFFFFF"/>
        </w:rPr>
        <w:t>大写：____________________</w:t>
      </w:r>
    </w:p>
    <w:p w14:paraId="408DE05F">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（注：固定单价合同应填写单价和最高限价）</w:t>
      </w:r>
    </w:p>
    <w:p w14:paraId="3C274D37">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（2）合同定价方式（采用组合定价方式的，可以勾选多项）：</w:t>
      </w:r>
    </w:p>
    <w:p w14:paraId="01EB7213">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固定总价固定单价成本补偿绩效激励其他__________</w:t>
      </w:r>
    </w:p>
    <w:p w14:paraId="13037E77">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（3）付款方式（按项目实际勾选填写）：</w:t>
      </w:r>
    </w:p>
    <w:p w14:paraId="765ED50E">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全额付款：_______（应明确一次性支付合同款项的条件）_____________</w:t>
      </w:r>
    </w:p>
    <w:p w14:paraId="15ECF960">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分期付款：_______（应明确分期支付合同款项的各期比例和支付条件，各期支付条件应与分期履约验收情况挂钩）_____________，其中涉及预付款的：_______ （应明确预付款的支付比例和支付条件）</w:t>
      </w:r>
    </w:p>
    <w:p w14:paraId="784A78D3">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成本补偿：_______（应明确按照成本补偿方式的支付方式和支付条件）___________</w:t>
      </w:r>
    </w:p>
    <w:p w14:paraId="0C349434">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绩效激励：_______（应明确按照绩效激励方式的支付方式和支付条件）_________</w:t>
      </w:r>
    </w:p>
    <w:p w14:paraId="00370749">
      <w:pPr>
        <w:pStyle w:val="6"/>
        <w:widowControl/>
        <w:wordWrap w:val="0"/>
        <w:spacing w:beforeAutospacing="0" w:afterAutospacing="0" w:line="30" w:lineRule="atLeast"/>
        <w:rPr>
          <w:rFonts w:hint="default" w:cs="宋体"/>
        </w:rPr>
      </w:pPr>
      <w:r>
        <w:rPr>
          <w:rFonts w:cs="宋体"/>
          <w:color w:val="333333"/>
          <w:shd w:val="clear" w:color="auto" w:fill="FFFFFF"/>
        </w:rPr>
        <w:t>3.合同履行</w:t>
      </w:r>
    </w:p>
    <w:p w14:paraId="5E78DEA6">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（1）起始日期：____________________年____________________月 ____________________日 ，完成日期：____________________年____________________月____________________日。</w:t>
      </w:r>
    </w:p>
    <w:p w14:paraId="7F469E7C">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（2）履约地点：____________________</w:t>
      </w:r>
    </w:p>
    <w:p w14:paraId="0B6B2C25">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（3）履约担保：</w:t>
      </w:r>
    </w:p>
    <w:p w14:paraId="545C6D03">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是否收取履约保证金：是 否</w:t>
      </w:r>
    </w:p>
    <w:p w14:paraId="3826A29F">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收取履约保证金形式：____________________</w:t>
      </w:r>
    </w:p>
    <w:p w14:paraId="0909771E">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收取履约保证金金额：____________________</w:t>
      </w:r>
    </w:p>
    <w:p w14:paraId="21D9FD2F">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履约担保期限：____________________</w:t>
      </w:r>
    </w:p>
    <w:p w14:paraId="4552083B">
      <w:pPr>
        <w:pStyle w:val="4"/>
        <w:widowControl/>
        <w:wordWrap w:val="0"/>
        <w:spacing w:beforeAutospacing="0" w:afterAutospacing="0" w:line="38" w:lineRule="atLeast"/>
        <w:ind w:firstLine="510"/>
        <w:jc w:val="both"/>
        <w:rPr>
          <w:rFonts w:ascii="宋体" w:hAnsi="宋体" w:eastAsia="宋体" w:cs="宋体"/>
        </w:rPr>
      </w:pPr>
      <w:r>
        <w:rPr>
          <w:rFonts w:hint="eastAsia" w:ascii="宋体" w:hAnsi="宋体" w:eastAsia="宋体" w:cs="宋体"/>
          <w:color w:val="333333"/>
          <w:shd w:val="clear" w:color="auto" w:fill="FFFFFF"/>
        </w:rPr>
        <w:t>履约担保期限：____________________</w:t>
      </w:r>
    </w:p>
    <w:p w14:paraId="393A519E">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（4）分期履行要求：____________________</w:t>
      </w:r>
    </w:p>
    <w:p w14:paraId="2FE68977">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（5）风险处置措施和替代方案：____________________</w:t>
      </w:r>
    </w:p>
    <w:p w14:paraId="6CA530AB">
      <w:pPr>
        <w:pStyle w:val="6"/>
        <w:widowControl/>
        <w:wordWrap w:val="0"/>
        <w:spacing w:beforeAutospacing="0" w:afterAutospacing="0" w:line="30" w:lineRule="atLeast"/>
        <w:rPr>
          <w:rFonts w:hint="default" w:cs="宋体"/>
        </w:rPr>
      </w:pPr>
      <w:r>
        <w:rPr>
          <w:rFonts w:cs="宋体"/>
          <w:color w:val="333333"/>
          <w:shd w:val="clear" w:color="auto" w:fill="FFFFFF"/>
        </w:rPr>
        <w:t>4.合同验收</w:t>
      </w:r>
    </w:p>
    <w:p w14:paraId="5BE3D15C">
      <w:pPr>
        <w:pStyle w:val="4"/>
        <w:widowControl/>
        <w:wordWrap w:val="0"/>
        <w:spacing w:beforeAutospacing="0" w:afterAutospacing="0" w:line="19" w:lineRule="atLeast"/>
        <w:ind w:firstLine="420"/>
        <w:jc w:val="both"/>
        <w:rPr>
          <w:rFonts w:ascii="宋体" w:hAnsi="宋体" w:eastAsia="宋体" w:cs="宋体"/>
        </w:rPr>
      </w:pPr>
      <w:r>
        <w:rPr>
          <w:rFonts w:hint="eastAsia" w:ascii="宋体" w:hAnsi="宋体" w:eastAsia="宋体" w:cs="宋体"/>
          <w:color w:val="333333"/>
          <w:shd w:val="clear" w:color="auto" w:fill="FFFFFF"/>
        </w:rPr>
        <w:t>（1）验收组织方式：自行验收委托第三方验收</w:t>
      </w:r>
    </w:p>
    <w:p w14:paraId="4DE57FC4">
      <w:pPr>
        <w:pStyle w:val="4"/>
        <w:widowControl/>
        <w:wordWrap w:val="0"/>
        <w:spacing w:beforeAutospacing="0" w:afterAutospacing="0" w:line="38" w:lineRule="atLeast"/>
        <w:ind w:firstLine="930"/>
        <w:jc w:val="both"/>
        <w:rPr>
          <w:rFonts w:ascii="宋体" w:hAnsi="宋体" w:eastAsia="宋体" w:cs="宋体"/>
        </w:rPr>
      </w:pPr>
      <w:r>
        <w:rPr>
          <w:rFonts w:hint="eastAsia" w:ascii="宋体" w:hAnsi="宋体" w:eastAsia="宋体" w:cs="宋体"/>
          <w:color w:val="333333"/>
          <w:shd w:val="clear" w:color="auto" w:fill="FFFFFF"/>
        </w:rPr>
        <w:t>验收主体：____________________</w:t>
      </w:r>
    </w:p>
    <w:p w14:paraId="73EEAF96">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是否邀请本项目的其他供应商参加验收：是否</w:t>
      </w:r>
    </w:p>
    <w:p w14:paraId="370ECDDF">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是否邀请专家参加验收：是否</w:t>
      </w:r>
    </w:p>
    <w:p w14:paraId="73400363">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是否邀请服务对象参加验收：是否</w:t>
      </w:r>
    </w:p>
    <w:p w14:paraId="3C14ED26">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是否邀请第三方检测机构参加验收：是否</w:t>
      </w:r>
    </w:p>
    <w:p w14:paraId="14A14AE2">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是否进行抽查检测： 是，抽查比例：__________%否</w:t>
      </w:r>
    </w:p>
    <w:p w14:paraId="74F6712C">
      <w:pPr>
        <w:pStyle w:val="4"/>
        <w:widowControl/>
        <w:wordWrap w:val="0"/>
        <w:spacing w:beforeAutospacing="0" w:afterAutospacing="0" w:line="19" w:lineRule="atLeast"/>
        <w:ind w:firstLine="840"/>
        <w:jc w:val="both"/>
        <w:rPr>
          <w:rFonts w:ascii="宋体" w:hAnsi="宋体" w:eastAsia="宋体" w:cs="宋体"/>
        </w:rPr>
      </w:pPr>
      <w:r>
        <w:rPr>
          <w:rFonts w:hint="eastAsia" w:ascii="宋体" w:hAnsi="宋体" w:eastAsia="宋体" w:cs="宋体"/>
          <w:color w:val="333333"/>
          <w:shd w:val="clear" w:color="auto" w:fill="FFFFFF"/>
        </w:rPr>
        <w:t>是否存在破坏性检测： 是，__________ 否</w:t>
      </w:r>
    </w:p>
    <w:p w14:paraId="2D432315">
      <w:pPr>
        <w:pStyle w:val="4"/>
        <w:widowControl/>
        <w:wordWrap w:val="0"/>
        <w:spacing w:beforeAutospacing="0" w:afterAutospacing="0" w:line="38" w:lineRule="atLeast"/>
        <w:ind w:firstLine="930"/>
        <w:jc w:val="both"/>
        <w:rPr>
          <w:rFonts w:ascii="宋体" w:hAnsi="宋体" w:eastAsia="宋体" w:cs="宋体"/>
        </w:rPr>
      </w:pPr>
      <w:r>
        <w:rPr>
          <w:rFonts w:hint="eastAsia" w:ascii="宋体" w:hAnsi="宋体" w:eastAsia="宋体" w:cs="宋体"/>
          <w:color w:val="333333"/>
          <w:shd w:val="clear" w:color="auto" w:fill="FFFFFF"/>
        </w:rPr>
        <w:t>验收组织的其他事项：____________________</w:t>
      </w:r>
    </w:p>
    <w:p w14:paraId="2D11B90D">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（2）履约验收时间：计划于何时验收/供应商提出验收申请之日起_______日内组织验收</w:t>
      </w:r>
    </w:p>
    <w:p w14:paraId="4C34CE6D">
      <w:pPr>
        <w:pStyle w:val="4"/>
        <w:widowControl/>
        <w:wordWrap w:val="0"/>
        <w:spacing w:beforeAutospacing="0" w:afterAutospacing="0" w:line="19" w:lineRule="atLeast"/>
        <w:ind w:firstLine="300"/>
        <w:jc w:val="both"/>
        <w:rPr>
          <w:rFonts w:ascii="宋体" w:hAnsi="宋体" w:eastAsia="宋体" w:cs="宋体"/>
        </w:rPr>
      </w:pPr>
      <w:r>
        <w:rPr>
          <w:rFonts w:hint="eastAsia" w:ascii="宋体" w:hAnsi="宋体" w:eastAsia="宋体" w:cs="宋体"/>
          <w:color w:val="333333"/>
          <w:shd w:val="clear" w:color="auto" w:fill="FFFFFF"/>
        </w:rPr>
        <w:t>（3）履约验收方式：一次性验收分期/分项验收：__________</w:t>
      </w:r>
    </w:p>
    <w:p w14:paraId="1B7B138D">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（4）履约验收程序：____________________</w:t>
      </w:r>
    </w:p>
    <w:p w14:paraId="12EF7BF0">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（5）履约验收的内容：_________（应当包括每一项技术和商务要求的履约情况，特别是落实政府采购扶持中小企业，支持绿色发展和乡村振兴等政策情况）___________</w:t>
      </w:r>
    </w:p>
    <w:p w14:paraId="6DEC6D4F">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（6）履约验收标准：_____________________________</w:t>
      </w:r>
    </w:p>
    <w:p w14:paraId="0552388B">
      <w:pPr>
        <w:pStyle w:val="4"/>
        <w:widowControl/>
        <w:wordWrap w:val="0"/>
        <w:spacing w:beforeAutospacing="0" w:afterAutospacing="0" w:line="19" w:lineRule="atLeast"/>
        <w:ind w:firstLine="300"/>
        <w:jc w:val="both"/>
        <w:rPr>
          <w:rFonts w:ascii="宋体" w:hAnsi="宋体" w:eastAsia="宋体" w:cs="宋体"/>
        </w:rPr>
      </w:pPr>
      <w:r>
        <w:rPr>
          <w:rFonts w:hint="eastAsia" w:ascii="宋体" w:hAnsi="宋体" w:eastAsia="宋体" w:cs="宋体"/>
          <w:color w:val="333333"/>
          <w:shd w:val="clear" w:color="auto" w:fill="FFFFFF"/>
        </w:rPr>
        <w:t>（7）是否以采购活动中供应商提供的样品作为参考：是否</w:t>
      </w:r>
    </w:p>
    <w:p w14:paraId="27672CC4">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（8）履约验收其他事项：_______________</w:t>
      </w:r>
    </w:p>
    <w:p w14:paraId="3261D089">
      <w:pPr>
        <w:pStyle w:val="6"/>
        <w:widowControl/>
        <w:wordWrap w:val="0"/>
        <w:spacing w:beforeAutospacing="0" w:afterAutospacing="0" w:line="30" w:lineRule="atLeast"/>
        <w:rPr>
          <w:rFonts w:hint="default" w:cs="宋体"/>
        </w:rPr>
      </w:pPr>
      <w:r>
        <w:rPr>
          <w:rFonts w:cs="宋体"/>
          <w:color w:val="333333"/>
          <w:shd w:val="clear" w:color="auto" w:fill="FFFFFF"/>
        </w:rPr>
        <w:t>5.组成合同的文件</w:t>
      </w:r>
    </w:p>
    <w:p w14:paraId="641FC873">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本协议书与下列文件一起构成合同文件，如下述文件之间有任何抵触、矛盾或歧义，应按以下顺序解释：</w:t>
      </w:r>
    </w:p>
    <w:p w14:paraId="24665F22">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（1）政府采购合同协议书及其变更、补充协议</w:t>
      </w:r>
    </w:p>
    <w:p w14:paraId="68C57C0F">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（2）政府采购合同专用条款</w:t>
      </w:r>
    </w:p>
    <w:p w14:paraId="6600BD49">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（3）政府采购合同通用条款</w:t>
      </w:r>
    </w:p>
    <w:p w14:paraId="0C40EDE7">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（4）中标（成交）通知书</w:t>
      </w:r>
    </w:p>
    <w:p w14:paraId="2FDA8D6F">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（5）投标（响应）文件</w:t>
      </w:r>
    </w:p>
    <w:p w14:paraId="55351279">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（6）采购文件</w:t>
      </w:r>
    </w:p>
    <w:p w14:paraId="30E66EB7">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（7）有关技术文件，图纸</w:t>
      </w:r>
    </w:p>
    <w:p w14:paraId="4D038DF7">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（8）国家法律、行政法规和规章制度规定或合同约定的作为合同组成部分的其他文件</w:t>
      </w:r>
    </w:p>
    <w:p w14:paraId="35390EDD">
      <w:pPr>
        <w:pStyle w:val="6"/>
        <w:widowControl/>
        <w:wordWrap w:val="0"/>
        <w:spacing w:beforeAutospacing="0" w:afterAutospacing="0" w:line="30" w:lineRule="atLeast"/>
        <w:rPr>
          <w:rFonts w:hint="default" w:cs="宋体"/>
        </w:rPr>
      </w:pPr>
      <w:r>
        <w:rPr>
          <w:rFonts w:cs="宋体"/>
          <w:color w:val="333333"/>
          <w:shd w:val="clear" w:color="auto" w:fill="FFFFFF"/>
        </w:rPr>
        <w:t>6.合同生效</w:t>
      </w:r>
    </w:p>
    <w:p w14:paraId="0F5289ED">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本合同自____________________生效。</w:t>
      </w:r>
    </w:p>
    <w:p w14:paraId="3127481E">
      <w:pPr>
        <w:pStyle w:val="6"/>
        <w:widowControl/>
        <w:wordWrap w:val="0"/>
        <w:spacing w:beforeAutospacing="0" w:afterAutospacing="0" w:line="30" w:lineRule="atLeast"/>
        <w:rPr>
          <w:rFonts w:hint="default" w:cs="宋体"/>
        </w:rPr>
      </w:pPr>
      <w:r>
        <w:rPr>
          <w:rFonts w:cs="宋体"/>
          <w:color w:val="333333"/>
          <w:shd w:val="clear" w:color="auto" w:fill="FFFFFF"/>
        </w:rPr>
        <w:t>7.合同份数</w:t>
      </w:r>
    </w:p>
    <w:p w14:paraId="3E1272DB">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本合同一式 _______ 份，甲方执 _______ 份，乙方执 _______ 份，均具有同等法律效力。</w:t>
      </w:r>
    </w:p>
    <w:p w14:paraId="7E117A5B">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合同订立时间：详见本合同封面的签订时间。</w:t>
      </w:r>
    </w:p>
    <w:p w14:paraId="07C46779">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合同订立地点： ____________________________</w:t>
      </w:r>
    </w:p>
    <w:p w14:paraId="559CCB78">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附件：具体标的及其技术要求和商务要求、联合协议、分包意向协议等。</w:t>
      </w:r>
    </w:p>
    <w:p w14:paraId="46D55600">
      <w:pPr>
        <w:widowControl/>
        <w:shd w:val="clear" w:color="auto" w:fill="FFFFFF"/>
        <w:wordWrap w:val="0"/>
        <w:spacing w:after="240" w:line="480" w:lineRule="atLeast"/>
        <w:rPr>
          <w:rFonts w:ascii="宋体" w:hAnsi="宋体" w:eastAsia="宋体" w:cs="宋体"/>
          <w:color w:val="333333"/>
          <w:sz w:val="24"/>
        </w:rPr>
      </w:pPr>
      <w:r>
        <w:rPr>
          <w:rFonts w:hint="eastAsia" w:ascii="宋体" w:hAnsi="宋体" w:eastAsia="宋体" w:cs="宋体"/>
          <w:color w:val="333333"/>
          <w:kern w:val="0"/>
          <w:sz w:val="24"/>
          <w:shd w:val="clear" w:color="auto" w:fill="FFFFFF"/>
        </w:rPr>
        <w:br w:type="textWrapping"/>
      </w:r>
    </w:p>
    <w:p w14:paraId="4804D5A3">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甲方（采购人、受采购人委托签订合同的单位或采购文件约定的合同甲方）</w:t>
      </w:r>
    </w:p>
    <w:p w14:paraId="332F1B0A">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单位名称（公章或合同章）： {{未填写}}（盖章）</w:t>
      </w:r>
    </w:p>
    <w:p w14:paraId="4D538BC2">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法定代表人或其委托代理人（签章）：{{未填写}}</w:t>
      </w:r>
    </w:p>
    <w:p w14:paraId="71404F2A">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住 所：{{未填写}}</w:t>
      </w:r>
    </w:p>
    <w:p w14:paraId="77B71C16">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联 系 人：{{未填写}}</w:t>
      </w:r>
    </w:p>
    <w:p w14:paraId="3E32CFA7">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联系电话：{{未填写}}</w:t>
      </w:r>
    </w:p>
    <w:p w14:paraId="1A9CAFCD">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通信地址：{{未填写}}</w:t>
      </w:r>
    </w:p>
    <w:p w14:paraId="39DDCFEC">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邮政编码：{{未填写}}</w:t>
      </w:r>
    </w:p>
    <w:p w14:paraId="0FC502FD">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电子邮箱：{{未填写}}</w:t>
      </w:r>
    </w:p>
    <w:p w14:paraId="21E2BAAF">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统一社会信用代码：{{未填写}}</w:t>
      </w:r>
    </w:p>
    <w:p w14:paraId="58C97DFD">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 </w:t>
      </w:r>
    </w:p>
    <w:p w14:paraId="25EBB005">
      <w:pPr>
        <w:pStyle w:val="8"/>
        <w:widowControl/>
        <w:wordWrap w:val="0"/>
        <w:spacing w:beforeAutospacing="0" w:after="300" w:afterAutospacing="0" w:line="30" w:lineRule="atLeast"/>
        <w:jc w:val="center"/>
        <w:rPr>
          <w:rFonts w:hint="default" w:cs="宋体"/>
        </w:rPr>
      </w:pPr>
      <w:r>
        <w:rPr>
          <w:rFonts w:cs="宋体"/>
          <w:color w:val="333333"/>
          <w:shd w:val="clear" w:color="auto" w:fill="FFFFFF"/>
        </w:rPr>
        <w:t>第二节 政府采购合同通用条款</w:t>
      </w:r>
    </w:p>
    <w:p w14:paraId="17398780">
      <w:pPr>
        <w:pStyle w:val="6"/>
        <w:widowControl/>
        <w:wordWrap w:val="0"/>
        <w:spacing w:beforeAutospacing="0" w:afterAutospacing="0" w:line="30" w:lineRule="atLeast"/>
        <w:rPr>
          <w:rFonts w:hint="default" w:cs="宋体"/>
        </w:rPr>
      </w:pPr>
      <w:r>
        <w:rPr>
          <w:rFonts w:cs="宋体"/>
          <w:color w:val="333333"/>
          <w:shd w:val="clear" w:color="auto" w:fill="FFFFFF"/>
        </w:rPr>
        <w:t>1. 定义</w:t>
      </w:r>
    </w:p>
    <w:p w14:paraId="4FABC359">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1.1合同当事人</w:t>
      </w:r>
    </w:p>
    <w:p w14:paraId="36B95447">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（1）采购人（以下称甲方）是指使用财政性资金，通过政府采购方式向供应商购买货物及其相关服务的国家机关、事业单位、团体组织。</w:t>
      </w:r>
    </w:p>
    <w:p w14:paraId="58DA14A5">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（2）供应商（以下称乙方）是指参加政府采购活动并且中标（成交），向采购人提供合同约定的货物及其相关服务的法人、非法人组织或者自然人。</w:t>
      </w:r>
    </w:p>
    <w:p w14:paraId="440E84B9">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（3）其他合同主体是指除采购人和供应商以外，依法参与合同缔结或履行，享有权利、承担义务的合同当事人。</w:t>
      </w:r>
    </w:p>
    <w:p w14:paraId="4FD7DC37">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1.2本合同下列术语应解释为：</w:t>
      </w:r>
    </w:p>
    <w:p w14:paraId="65CAED74">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74F09F5">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（2）“合同价款”系指根据本合同规定乙方在全面履行合同义务后甲方应支付给乙方的价款。</w:t>
      </w:r>
    </w:p>
    <w:p w14:paraId="78FC3481">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（3）“货物”系指乙方根据本合同规定须向甲方提供的各种形态和种类的物品，包括原材料、设备、产品（包括软件）及相关的其备品备件、工具、手册及其他技术资料和材料等。</w:t>
      </w:r>
    </w:p>
    <w:p w14:paraId="20A6AA5D">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2EE343C">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（5）“分包”系指中标（成交）供应商按采购文件、投标（响应）文件的规定，根据分包意向协议，将中标（成交）项目中的部分履约内容，分给具有相应资质条件的供应商履行合同的行为。</w:t>
      </w:r>
    </w:p>
    <w:p w14:paraId="5924AE8C">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w:t>
      </w:r>
    </w:p>
    <w:p w14:paraId="74325E0D">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（7）其他术语解释，见</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w:t>
      </w:r>
    </w:p>
    <w:p w14:paraId="46B2381A">
      <w:pPr>
        <w:pStyle w:val="6"/>
        <w:widowControl/>
        <w:wordWrap w:val="0"/>
        <w:spacing w:beforeAutospacing="0" w:afterAutospacing="0" w:line="30" w:lineRule="atLeast"/>
        <w:rPr>
          <w:rFonts w:hint="default" w:cs="宋体"/>
        </w:rPr>
      </w:pPr>
      <w:r>
        <w:rPr>
          <w:rFonts w:cs="宋体"/>
          <w:color w:val="333333"/>
          <w:shd w:val="clear" w:color="auto" w:fill="FFFFFF"/>
        </w:rPr>
        <w:t>2.合同标的及金额</w:t>
      </w:r>
    </w:p>
    <w:p w14:paraId="27DD4A42">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2.1 合同标的及金额应与中标（成交）结果一致。乙方为履行本合同而发生的所有费用均应包含在合同价款中，甲方不再另行支付其他任何费用。</w:t>
      </w:r>
    </w:p>
    <w:p w14:paraId="0B1E904B">
      <w:pPr>
        <w:pStyle w:val="6"/>
        <w:widowControl/>
        <w:wordWrap w:val="0"/>
        <w:spacing w:beforeAutospacing="0" w:afterAutospacing="0" w:line="30" w:lineRule="atLeast"/>
        <w:rPr>
          <w:rFonts w:hint="default" w:cs="宋体"/>
        </w:rPr>
      </w:pPr>
      <w:r>
        <w:rPr>
          <w:rFonts w:cs="宋体"/>
          <w:color w:val="333333"/>
          <w:shd w:val="clear" w:color="auto" w:fill="FFFFFF"/>
        </w:rPr>
        <w:t>3. 履行合同的时间、地点和方式</w:t>
      </w:r>
    </w:p>
    <w:p w14:paraId="7A68D791">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3.1 乙方应当在约定的时间、地点，按照约定方式履行合同。</w:t>
      </w:r>
    </w:p>
    <w:p w14:paraId="2169E908">
      <w:pPr>
        <w:pStyle w:val="6"/>
        <w:widowControl/>
        <w:wordWrap w:val="0"/>
        <w:spacing w:beforeAutospacing="0" w:afterAutospacing="0" w:line="30" w:lineRule="atLeast"/>
        <w:rPr>
          <w:rFonts w:hint="default" w:cs="宋体"/>
        </w:rPr>
      </w:pPr>
      <w:r>
        <w:rPr>
          <w:rFonts w:cs="宋体"/>
          <w:color w:val="333333"/>
          <w:shd w:val="clear" w:color="auto" w:fill="FFFFFF"/>
        </w:rPr>
        <w:t>4. 甲方的权利和义务</w:t>
      </w:r>
    </w:p>
    <w:p w14:paraId="20579A20">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4.1 签署合同后，甲方应确定项目负责人（或项目联系人），负责与本合同有关的事务。甲方有权对乙方的履约行为进行检查，并及时确认乙方提交的事项。甲方应当配合乙方完成相关项目实施工作。</w:t>
      </w:r>
    </w:p>
    <w:p w14:paraId="71CF68EA">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4.2 甲方有权要求乙方按时提交各阶段有关安排计划，并有权定期核对乙方提供货物数量、规格、质量等内容。甲方有权督促乙方工作并要求乙方更换不符合要求的货物。</w:t>
      </w:r>
    </w:p>
    <w:p w14:paraId="6784D0BB">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4.3 甲方有权要求乙方对缺陷部分予以修复，并按合同约定享有货物保修及其他合同约定的权利。</w:t>
      </w:r>
    </w:p>
    <w:p w14:paraId="14C54919">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4.4 甲方应当按照合同约定及时对交付的货物进行验收，未在</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约定的期限内对乙方履约提出任何异议或者向乙方作出任何说明的，视为验收通过。</w:t>
      </w:r>
    </w:p>
    <w:p w14:paraId="1F8A5FC0">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4.5 甲方应当根据合同约定及时向乙方支付合同价款，不得以内部人员变更、履行内部付款流程等为由，拒绝或迟延支付。</w:t>
      </w:r>
    </w:p>
    <w:p w14:paraId="532D1AE0">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4.6 国家法律法规规定及</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约定应由甲方承担的其他义务和责任。</w:t>
      </w:r>
    </w:p>
    <w:p w14:paraId="0F819894">
      <w:pPr>
        <w:pStyle w:val="6"/>
        <w:widowControl/>
        <w:wordWrap w:val="0"/>
        <w:spacing w:beforeAutospacing="0" w:afterAutospacing="0" w:line="30" w:lineRule="atLeast"/>
        <w:rPr>
          <w:rFonts w:hint="default" w:cs="宋体"/>
        </w:rPr>
      </w:pPr>
      <w:r>
        <w:rPr>
          <w:rFonts w:cs="宋体"/>
          <w:color w:val="333333"/>
          <w:shd w:val="clear" w:color="auto" w:fill="FFFFFF"/>
        </w:rPr>
        <w:t>5. 乙方的权利和义务</w:t>
      </w:r>
    </w:p>
    <w:p w14:paraId="28621194">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5.1 签署合同后，乙方应确定项目负责人（或项目联系人），负责与本合同有关的事务。</w:t>
      </w:r>
    </w:p>
    <w:p w14:paraId="0BD3A1A8">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7FDB93A">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5.3乙方有权根据合同约定向甲方收取合同价款。</w:t>
      </w:r>
    </w:p>
    <w:p w14:paraId="58A75952">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5.4国家法律法规规定及</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约定应由乙方承担的其他义务和责任。</w:t>
      </w:r>
    </w:p>
    <w:p w14:paraId="25944DCE">
      <w:pPr>
        <w:pStyle w:val="6"/>
        <w:widowControl/>
        <w:wordWrap w:val="0"/>
        <w:spacing w:beforeAutospacing="0" w:afterAutospacing="0" w:line="30" w:lineRule="atLeast"/>
        <w:rPr>
          <w:rFonts w:hint="default" w:cs="宋体"/>
        </w:rPr>
      </w:pPr>
      <w:r>
        <w:rPr>
          <w:rFonts w:cs="宋体"/>
          <w:color w:val="333333"/>
          <w:shd w:val="clear" w:color="auto" w:fill="FFFFFF"/>
        </w:rPr>
        <w:t>6.合同履行</w:t>
      </w:r>
    </w:p>
    <w:p w14:paraId="11EF30A4">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6.1 甲乙双方应当按照</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约定顺序履行合同义务；如果没有先后顺序的，应当同时履行。</w:t>
      </w:r>
    </w:p>
    <w:p w14:paraId="1929E5F8">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6.2 甲乙双方按照合同约定顺序履行合同义务时，应当先履行一方未履行的，后履行一方有权拒绝其履行请求。先履行一方履行不符合约定的，后履行一方有权拒绝其相应的履行请求。</w:t>
      </w:r>
    </w:p>
    <w:p w14:paraId="3133FD3A">
      <w:pPr>
        <w:pStyle w:val="6"/>
        <w:widowControl/>
        <w:wordWrap w:val="0"/>
        <w:spacing w:beforeAutospacing="0" w:afterAutospacing="0" w:line="30" w:lineRule="atLeast"/>
        <w:rPr>
          <w:rFonts w:hint="default" w:cs="宋体"/>
        </w:rPr>
      </w:pPr>
      <w:r>
        <w:rPr>
          <w:rFonts w:cs="宋体"/>
          <w:color w:val="333333"/>
          <w:shd w:val="clear" w:color="auto" w:fill="FFFFFF"/>
        </w:rPr>
        <w:t>7. 货物包装、运输、保险和交付要求</w:t>
      </w:r>
    </w:p>
    <w:p w14:paraId="4827EC5A">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7.1 本合同涉及商品包装、快递包装的，除</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另有约定外，包装应适应远距离运输、防潮、防震、防锈和防野蛮装卸等要求，确保货物安全无损地运抵</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约定的指定现场。</w:t>
      </w:r>
    </w:p>
    <w:p w14:paraId="72D9EA43">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7.2 除</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另有约定外，乙方负责办理将货物运抵本合同规定的交货地点，并装卸、交付至甲方的一切运输事项，相关费用应包含在合同价款中。</w:t>
      </w:r>
    </w:p>
    <w:p w14:paraId="6995B68F">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7.3 货物保险要求按</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规定执行。</w:t>
      </w:r>
    </w:p>
    <w:p w14:paraId="59A194D4">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73CC292">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7.5 乙方在运输到达之前应提前通知甲方，并提示货物运输装卸的注意事项，甲方配合乙方做好货物的接收工作。</w:t>
      </w:r>
    </w:p>
    <w:p w14:paraId="196761E5">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7.6 如因包装、运输问题导致货物损毁、丢失或者品质下降，甲方有权要求降价、换货、拒收部分或整批货物，由此产生的费用和损失，均由乙方承担。</w:t>
      </w:r>
    </w:p>
    <w:p w14:paraId="2D691F35">
      <w:pPr>
        <w:pStyle w:val="6"/>
        <w:widowControl/>
        <w:wordWrap w:val="0"/>
        <w:spacing w:beforeAutospacing="0" w:afterAutospacing="0" w:line="30" w:lineRule="atLeast"/>
        <w:rPr>
          <w:rFonts w:hint="default" w:cs="宋体"/>
        </w:rPr>
      </w:pPr>
      <w:r>
        <w:rPr>
          <w:rFonts w:cs="宋体"/>
          <w:color w:val="333333"/>
          <w:shd w:val="clear" w:color="auto" w:fill="FFFFFF"/>
        </w:rPr>
        <w:t>8. 质量标准和保证</w:t>
      </w:r>
    </w:p>
    <w:p w14:paraId="27A95A54">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8.1 质量标准</w:t>
      </w:r>
    </w:p>
    <w:p w14:paraId="13218622">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31AFD99">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（2）采用中华人民共和国法定计量单位。</w:t>
      </w:r>
    </w:p>
    <w:p w14:paraId="58C541F3">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（3）乙方所提供的货物应符合国家有关安全、环保、卫生的规定。</w:t>
      </w:r>
    </w:p>
    <w:p w14:paraId="1A84B4FC">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（4）乙方应向甲方提交所提供货物的技术文件，包括相应的中文技术文件，如：产品目录、图纸、操作手册、使用说明、维护手册或服务指南等。上述文件应包装好随货物一同发运。</w:t>
      </w:r>
    </w:p>
    <w:p w14:paraId="12A7319E">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8.2 保证</w:t>
      </w:r>
    </w:p>
    <w:p w14:paraId="1757F3A7">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21BA0965">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（2）在质量保证期内所发现的缺陷，甲方应尽快以书面形式通知乙方。</w:t>
      </w:r>
    </w:p>
    <w:p w14:paraId="2360ACEB">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（3）乙方收到通知后，应在【政府采购合同专用条款】规定的响应时间内以合理的速度免费维修或更换有缺陷的货物或部件。</w:t>
      </w:r>
    </w:p>
    <w:p w14:paraId="7B3F6C65">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（4）在质量保证期内，如果货物的质量或规格与合同不符，或证实货物是有缺陷的，包括潜在的缺陷或使用不符合要求的材料等，甲方可以根据本合同第15.1条规定以书面形式追究乙方的违约责任。</w:t>
      </w:r>
    </w:p>
    <w:p w14:paraId="6BA78930">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（5）乙方在约定的时间内未能弥补缺陷，甲方可采取必要的补救措施，但其风险和费用将由乙方承担，甲方根据合同约定对乙方行使的其他权利不受影响。</w:t>
      </w:r>
    </w:p>
    <w:p w14:paraId="4270153D">
      <w:pPr>
        <w:pStyle w:val="6"/>
        <w:widowControl/>
        <w:wordWrap w:val="0"/>
        <w:spacing w:beforeAutospacing="0" w:afterAutospacing="0" w:line="30" w:lineRule="atLeast"/>
        <w:rPr>
          <w:rFonts w:hint="default" w:cs="宋体"/>
        </w:rPr>
      </w:pPr>
      <w:r>
        <w:rPr>
          <w:rFonts w:cs="宋体"/>
          <w:color w:val="333333"/>
          <w:shd w:val="clear" w:color="auto" w:fill="FFFFFF"/>
        </w:rPr>
        <w:t>9. 权利瑕疵担保</w:t>
      </w:r>
    </w:p>
    <w:p w14:paraId="751E3328">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9.1 乙方保证对其出售的货物享有合法的权利。</w:t>
      </w:r>
    </w:p>
    <w:p w14:paraId="549D5BA8">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9.2 乙方保证在交付的货物上不存在抵押权等担保物权。</w:t>
      </w:r>
    </w:p>
    <w:p w14:paraId="0AD67E69">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9.3 如甲方使用上述货物构成对第三人侵权的，则由乙方承担全部责任。</w:t>
      </w:r>
    </w:p>
    <w:p w14:paraId="4185FB40">
      <w:pPr>
        <w:pStyle w:val="6"/>
        <w:widowControl/>
        <w:wordWrap w:val="0"/>
        <w:spacing w:beforeAutospacing="0" w:afterAutospacing="0" w:line="30" w:lineRule="atLeast"/>
        <w:rPr>
          <w:rFonts w:hint="default" w:cs="宋体"/>
        </w:rPr>
      </w:pPr>
      <w:r>
        <w:rPr>
          <w:rFonts w:cs="宋体"/>
          <w:color w:val="333333"/>
          <w:shd w:val="clear" w:color="auto" w:fill="FFFFFF"/>
        </w:rPr>
        <w:t>10. 知识产权保护</w:t>
      </w:r>
    </w:p>
    <w:p w14:paraId="4C46A47D">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70621981">
      <w:pPr>
        <w:pStyle w:val="6"/>
        <w:widowControl/>
        <w:wordWrap w:val="0"/>
        <w:spacing w:beforeAutospacing="0" w:afterAutospacing="0" w:line="30" w:lineRule="atLeast"/>
        <w:rPr>
          <w:rFonts w:hint="default" w:cs="宋体"/>
        </w:rPr>
      </w:pPr>
      <w:r>
        <w:rPr>
          <w:rFonts w:cs="宋体"/>
          <w:color w:val="333333"/>
          <w:shd w:val="clear" w:color="auto" w:fill="FFFFFF"/>
        </w:rPr>
        <w:t>11. 保密义务</w:t>
      </w:r>
    </w:p>
    <w:p w14:paraId="451B898B">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中约定。</w:t>
      </w:r>
    </w:p>
    <w:p w14:paraId="08769A25">
      <w:pPr>
        <w:pStyle w:val="6"/>
        <w:widowControl/>
        <w:wordWrap w:val="0"/>
        <w:spacing w:beforeAutospacing="0" w:afterAutospacing="0" w:line="30" w:lineRule="atLeast"/>
        <w:rPr>
          <w:rFonts w:hint="default" w:cs="宋体"/>
        </w:rPr>
      </w:pPr>
      <w:r>
        <w:rPr>
          <w:rFonts w:cs="宋体"/>
          <w:color w:val="333333"/>
          <w:shd w:val="clear" w:color="auto" w:fill="FFFFFF"/>
        </w:rPr>
        <w:t>12. 合同价款支付</w:t>
      </w:r>
    </w:p>
    <w:p w14:paraId="15004525">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12.1 合同价款支付按照国库集中支付制度及财政管理相关规定执行。</w:t>
      </w:r>
    </w:p>
    <w:p w14:paraId="7DA9ED9A">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中约定。</w:t>
      </w:r>
    </w:p>
    <w:p w14:paraId="73346649">
      <w:pPr>
        <w:pStyle w:val="6"/>
        <w:widowControl/>
        <w:wordWrap w:val="0"/>
        <w:spacing w:beforeAutospacing="0" w:afterAutospacing="0" w:line="30" w:lineRule="atLeast"/>
        <w:rPr>
          <w:rFonts w:hint="default" w:cs="宋体"/>
        </w:rPr>
      </w:pPr>
      <w:r>
        <w:rPr>
          <w:rFonts w:cs="宋体"/>
          <w:color w:val="333333"/>
          <w:shd w:val="clear" w:color="auto" w:fill="FFFFFF"/>
        </w:rPr>
        <w:t>13. 履约保证金</w:t>
      </w:r>
    </w:p>
    <w:p w14:paraId="0DBAA372">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13.1 乙方应当以支票、汇票、本票或者金融机构、担保机构出具的保函等非现金形式提交。</w:t>
      </w:r>
    </w:p>
    <w:p w14:paraId="5029C4EF">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13.2 如果乙方出现</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约定情形的，履约保证金不予退还；如果乙方未能按合同约定全面履行义务，甲方有权从履约保证金中取得补偿或赔偿，且不影响甲方要求乙方承担合同约定的超过履约保证金的违约责任的权利。</w:t>
      </w:r>
    </w:p>
    <w:p w14:paraId="75FE0FD4">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13.3 甲方在项目通过验收后按照</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规定的时间内将履约保证金退还乙方；逾期退还的，乙方可要求甲方支付违约金，违约金按照</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规定支付。</w:t>
      </w:r>
    </w:p>
    <w:p w14:paraId="30837263">
      <w:pPr>
        <w:pStyle w:val="6"/>
        <w:widowControl/>
        <w:wordWrap w:val="0"/>
        <w:spacing w:beforeAutospacing="0" w:afterAutospacing="0" w:line="30" w:lineRule="atLeast"/>
        <w:rPr>
          <w:rFonts w:hint="default" w:cs="宋体"/>
        </w:rPr>
      </w:pPr>
      <w:r>
        <w:rPr>
          <w:rFonts w:cs="宋体"/>
          <w:color w:val="333333"/>
          <w:shd w:val="clear" w:color="auto" w:fill="FFFFFF"/>
        </w:rPr>
        <w:t>14. 售后服务</w:t>
      </w:r>
    </w:p>
    <w:p w14:paraId="2D965CF5">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14.1 除项目不涉及或采购活动中明确约定无须承担外，乙方还应提供下列服务：</w:t>
      </w:r>
    </w:p>
    <w:p w14:paraId="0A219EFA">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（1）货物的现场移动、安装、调试、启动监督及技术支持；</w:t>
      </w:r>
    </w:p>
    <w:p w14:paraId="058E2EF1">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（2）提供货物组装和维修所需的专用工具和辅助材料；</w:t>
      </w:r>
    </w:p>
    <w:p w14:paraId="6C3E581C">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（3）在</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约定的期限内对所有的货物实施运行监督、维修，但前提条件是该服务并不能免除乙方在质量保证期内所承担的义务；</w:t>
      </w:r>
    </w:p>
    <w:p w14:paraId="0CD3E48E">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（4）在制造商所在地或指定现场就货物的安装、启动、运营、维护、废弃处置等对甲方操作人员进行培训；</w:t>
      </w:r>
    </w:p>
    <w:p w14:paraId="5DD07805">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（5）依照法律、行政法规的规定或者按照</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约定，货物在有效使用年限届满后应予回收的，乙方负有自行或者委托第三人对货物予以回收的义务；</w:t>
      </w:r>
    </w:p>
    <w:p w14:paraId="22A49354">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（6）</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规定由乙方提供的其他服务。</w:t>
      </w:r>
    </w:p>
    <w:p w14:paraId="5294F6ED">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14.2 乙方提供的售后服务的费用已包含在合同价款中，甲方不再另行支付。</w:t>
      </w:r>
    </w:p>
    <w:p w14:paraId="4FC7C85E">
      <w:pPr>
        <w:pStyle w:val="6"/>
        <w:widowControl/>
        <w:wordWrap w:val="0"/>
        <w:spacing w:beforeAutospacing="0" w:afterAutospacing="0" w:line="30" w:lineRule="atLeast"/>
        <w:rPr>
          <w:rFonts w:hint="default" w:cs="宋体"/>
        </w:rPr>
      </w:pPr>
      <w:r>
        <w:rPr>
          <w:rFonts w:cs="宋体"/>
          <w:color w:val="333333"/>
          <w:shd w:val="clear" w:color="auto" w:fill="FFFFFF"/>
        </w:rPr>
        <w:t>15. 违约责任</w:t>
      </w:r>
    </w:p>
    <w:p w14:paraId="61DCE50D">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15.1质量瑕疵的违约责任</w:t>
      </w:r>
    </w:p>
    <w:p w14:paraId="275A5B74">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乙方提供的产品不符合合同约定的质量标准或存在产品质量缺陷，甲方有权要求乙方根据</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要求及时修理、重作、更换，并承担由此给甲方造成的损失。</w:t>
      </w:r>
    </w:p>
    <w:p w14:paraId="411248B9">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15.2 迟延交货的违约责任</w:t>
      </w:r>
    </w:p>
    <w:p w14:paraId="6A302CD7">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27DA0F3">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（2）如果乙方没有按照合同规定的时间交货和提供相关服务，甲方有权从货款中扣除误期赔偿费而不影响合同项下的其他补救方法，赔偿费按</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规定执行。如果涉及公共利益，且赔偿金额无法弥补公共利益损失，甲方可要求继续履行或者采取其他补救措施。</w:t>
      </w:r>
    </w:p>
    <w:p w14:paraId="5844C0E0">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15.3 迟延支付的违约责任</w:t>
      </w:r>
    </w:p>
    <w:p w14:paraId="1141FC68">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甲方存在迟延支付乙方合同款项的，应当承担</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规定的逾期付款利息。</w:t>
      </w:r>
    </w:p>
    <w:p w14:paraId="7A784710">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15.4其他违约责任根据项目实际需要按</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规定执行。</w:t>
      </w:r>
    </w:p>
    <w:p w14:paraId="73C53493">
      <w:pPr>
        <w:pStyle w:val="6"/>
        <w:widowControl/>
        <w:wordWrap w:val="0"/>
        <w:spacing w:beforeAutospacing="0" w:afterAutospacing="0" w:line="30" w:lineRule="atLeast"/>
        <w:rPr>
          <w:rFonts w:hint="default" w:cs="宋体"/>
        </w:rPr>
      </w:pPr>
      <w:r>
        <w:rPr>
          <w:rFonts w:cs="宋体"/>
          <w:color w:val="333333"/>
          <w:shd w:val="clear" w:color="auto" w:fill="FFFFFF"/>
        </w:rPr>
        <w:t>16.合同变更、中止与终止</w:t>
      </w:r>
    </w:p>
    <w:p w14:paraId="4EE84152">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16.1合同的变更</w:t>
      </w:r>
    </w:p>
    <w:p w14:paraId="488854EB">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政府采购合同履行中，在不改变合同其他条款的前提下，甲方可以在合同价款10%的范围内追加与合同标的相同的货物，并就此与乙方协商一致后签订补充协议。</w:t>
      </w:r>
    </w:p>
    <w:p w14:paraId="4214EF56">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16.2合同的中止</w:t>
      </w:r>
    </w:p>
    <w:p w14:paraId="6D9C8282">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（1）合同履行过程中因供应商就采购文件、采购过程或结果提起投诉的，甲方认为有必要的，可以中止合同的履行。</w:t>
      </w:r>
    </w:p>
    <w:p w14:paraId="755AA826">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8438560">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（3）乙方分立、合并或者变更住所的，应当及时以书面形式告知甲方。乙方没有及时告知甲方，致使合同履行发生困难的，甲方可以中止合同履行并要求乙方承担由此给甲方造成的损失。</w:t>
      </w:r>
    </w:p>
    <w:p w14:paraId="023585E0">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（4）甲方不得以行政区划调整、政府换届、机构或者职能调整以及相关责任人更替为由中止合同。</w:t>
      </w:r>
    </w:p>
    <w:p w14:paraId="0F5626E8">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16.3合同的终止</w:t>
      </w:r>
    </w:p>
    <w:p w14:paraId="7E45BECE">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（1）合同因有效期限届满而终止；</w:t>
      </w:r>
    </w:p>
    <w:p w14:paraId="7710A839">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（2）乙方未按合同约定履行，构成根本性违约的，甲方有权终止合同，并追究乙方的违约责任。</w:t>
      </w:r>
    </w:p>
    <w:p w14:paraId="252191F1">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16.4 涉及国家利益、社会公共利益的情形</w:t>
      </w:r>
    </w:p>
    <w:p w14:paraId="0100488D">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政府采购合同继续履行将损害国家利益和社会公共利益的，双方当事人应当变更、中止或者终止合同。有过错的一方应当承担赔偿责任，双方都有过错的，各自承担相应的责任。</w:t>
      </w:r>
    </w:p>
    <w:p w14:paraId="3776D712">
      <w:pPr>
        <w:pStyle w:val="6"/>
        <w:widowControl/>
        <w:wordWrap w:val="0"/>
        <w:spacing w:beforeAutospacing="0" w:afterAutospacing="0" w:line="30" w:lineRule="atLeast"/>
        <w:rPr>
          <w:rFonts w:hint="default" w:cs="宋体"/>
        </w:rPr>
      </w:pPr>
      <w:r>
        <w:rPr>
          <w:rFonts w:cs="宋体"/>
          <w:color w:val="333333"/>
          <w:shd w:val="clear" w:color="auto" w:fill="FFFFFF"/>
        </w:rPr>
        <w:t>17. 合同分包</w:t>
      </w:r>
    </w:p>
    <w:p w14:paraId="29E12FE6">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17.1 乙方不得将合同转包给其他供应商。涉及合同分包的，乙方应根据采购文件和投标（响应）文件规定进行合同分包。</w:t>
      </w:r>
    </w:p>
    <w:p w14:paraId="7A1696BD">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17.2 乙方执行政府采购政策向中小企业依法分包的，乙方应当按采购文件和投标（响应）文件签订分包意向协议，分包意向协议属于本合同组成部分。</w:t>
      </w:r>
    </w:p>
    <w:p w14:paraId="6E570233">
      <w:pPr>
        <w:pStyle w:val="6"/>
        <w:widowControl/>
        <w:wordWrap w:val="0"/>
        <w:spacing w:beforeAutospacing="0" w:afterAutospacing="0" w:line="30" w:lineRule="atLeast"/>
        <w:rPr>
          <w:rFonts w:hint="default" w:cs="宋体"/>
        </w:rPr>
      </w:pPr>
      <w:r>
        <w:rPr>
          <w:rFonts w:cs="宋体"/>
          <w:color w:val="333333"/>
          <w:shd w:val="clear" w:color="auto" w:fill="FFFFFF"/>
        </w:rPr>
        <w:t>18. 不可抗力</w:t>
      </w:r>
    </w:p>
    <w:p w14:paraId="10DED7C3">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18.1 不可抗力是指合同双方不能预见、不能避免且不能克服的客观情况。</w:t>
      </w:r>
    </w:p>
    <w:p w14:paraId="6A5E7656">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18.2 任何一方对由于不可抗力造成的部分或全部不能履行合同不承担违约责任。但迟延履行后发生不可抗力的，不能免除责任。</w:t>
      </w:r>
    </w:p>
    <w:p w14:paraId="4D9ABF89">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0221D03">
      <w:pPr>
        <w:pStyle w:val="6"/>
        <w:widowControl/>
        <w:wordWrap w:val="0"/>
        <w:spacing w:beforeAutospacing="0" w:afterAutospacing="0" w:line="30" w:lineRule="atLeast"/>
        <w:rPr>
          <w:rFonts w:hint="default" w:cs="宋体"/>
        </w:rPr>
      </w:pPr>
      <w:r>
        <w:rPr>
          <w:rFonts w:cs="宋体"/>
          <w:color w:val="333333"/>
          <w:shd w:val="clear" w:color="auto" w:fill="FFFFFF"/>
        </w:rPr>
        <w:t>19. 解决争议的方法</w:t>
      </w:r>
    </w:p>
    <w:p w14:paraId="159AE07C">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19.1 因本合同及合同有关事项发生的争议，由甲乙双方友好协商解决。协商不成时，可以向有关组织申请调解。合同一方或双方不愿调解或调解不成的，可以通过仲裁或诉讼的方式解决争议。</w:t>
      </w:r>
    </w:p>
    <w:p w14:paraId="61ACFC22">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19.2 选择仲裁的，应在</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中明确仲裁机构及仲裁地；通过诉讼方式解决的，可以在</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中进一步约定选择与争议有实际联系的地点的人民法院管辖，但管辖法院的约定不得违反级别管辖和专属管辖的规定。</w:t>
      </w:r>
    </w:p>
    <w:p w14:paraId="3BFAD0E5">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19.3 如甲乙双方有争议的事项不影响合同其他部分的履行，在争议解决期间，合同其他部分应当继续履行。</w:t>
      </w:r>
    </w:p>
    <w:p w14:paraId="656319F8">
      <w:pPr>
        <w:pStyle w:val="6"/>
        <w:widowControl/>
        <w:wordWrap w:val="0"/>
        <w:spacing w:beforeAutospacing="0" w:afterAutospacing="0" w:line="30" w:lineRule="atLeast"/>
        <w:rPr>
          <w:rFonts w:hint="default" w:cs="宋体"/>
        </w:rPr>
      </w:pPr>
      <w:r>
        <w:rPr>
          <w:rFonts w:cs="宋体"/>
          <w:color w:val="333333"/>
          <w:shd w:val="clear" w:color="auto" w:fill="FFFFFF"/>
        </w:rPr>
        <w:t>20. 政府采购政策</w:t>
      </w:r>
    </w:p>
    <w:p w14:paraId="2633F7CE">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20.1 本合同应当按照规定执行政府采购政策。</w:t>
      </w:r>
    </w:p>
    <w:p w14:paraId="593C6C55">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144D202B">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09E162C">
      <w:pPr>
        <w:pStyle w:val="6"/>
        <w:widowControl/>
        <w:wordWrap w:val="0"/>
        <w:spacing w:beforeAutospacing="0" w:afterAutospacing="0" w:line="30" w:lineRule="atLeast"/>
        <w:rPr>
          <w:rFonts w:hint="default" w:cs="宋体"/>
        </w:rPr>
      </w:pPr>
      <w:r>
        <w:rPr>
          <w:rFonts w:cs="宋体"/>
          <w:color w:val="333333"/>
          <w:shd w:val="clear" w:color="auto" w:fill="FFFFFF"/>
        </w:rPr>
        <w:t>21. 法律适用</w:t>
      </w:r>
    </w:p>
    <w:p w14:paraId="256767CD">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21.1 本合同的订立、生效、解释、履行及与本合同有关的争议解决，均适用法律、行政法规。</w:t>
      </w:r>
    </w:p>
    <w:p w14:paraId="1E5A6519">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21.2 本合同条款与法律、行政法规的强制性规定不一致的，双方当事人应按照法律、行政法规的强制性规定修改本合同的相关条款。</w:t>
      </w:r>
    </w:p>
    <w:p w14:paraId="5989B7B0">
      <w:pPr>
        <w:pStyle w:val="6"/>
        <w:widowControl/>
        <w:wordWrap w:val="0"/>
        <w:spacing w:beforeAutospacing="0" w:afterAutospacing="0" w:line="30" w:lineRule="atLeast"/>
        <w:rPr>
          <w:rFonts w:hint="default" w:cs="宋体"/>
        </w:rPr>
      </w:pPr>
      <w:r>
        <w:rPr>
          <w:rFonts w:cs="宋体"/>
          <w:color w:val="333333"/>
          <w:shd w:val="clear" w:color="auto" w:fill="FFFFFF"/>
        </w:rPr>
        <w:t>22. 通知</w:t>
      </w:r>
    </w:p>
    <w:p w14:paraId="60FDFCD7">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22.1 本合同任何一方向对方发出的通知、信件、数据电文等，应当发送至本合同第一部分《政府采购合同协议书》所约定的通讯地址、联系人、联系电话或电子邮箱。</w:t>
      </w:r>
    </w:p>
    <w:p w14:paraId="7E94B0C4">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22.2 一方当事人变更名称、住所、联系人、联系电话或电子邮箱等信息的，应当在变更后3日内及时书面通知对方，对方实际收到变更通知前的送达仍为有效送达。</w:t>
      </w:r>
    </w:p>
    <w:p w14:paraId="59D2E4D8">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22.3本合同一方给另一方的通知均应采用书面形式，传真或快递送到本合同中规定的对方的地址和办理签收手续。</w:t>
      </w:r>
    </w:p>
    <w:p w14:paraId="7C8A3F2D">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22.4通知以送达之日或通知书中规定的生效之日起生效，两者中以较迟之日为准。</w:t>
      </w:r>
    </w:p>
    <w:p w14:paraId="079BF33B">
      <w:pPr>
        <w:pStyle w:val="6"/>
        <w:widowControl/>
        <w:wordWrap w:val="0"/>
        <w:spacing w:beforeAutospacing="0" w:afterAutospacing="0" w:line="30" w:lineRule="atLeast"/>
        <w:rPr>
          <w:rFonts w:hint="default" w:cs="宋体"/>
        </w:rPr>
      </w:pPr>
      <w:r>
        <w:rPr>
          <w:rFonts w:cs="宋体"/>
          <w:color w:val="333333"/>
          <w:shd w:val="clear" w:color="auto" w:fill="FFFFFF"/>
        </w:rPr>
        <w:t>23.合同未尽事项</w:t>
      </w:r>
    </w:p>
    <w:p w14:paraId="49E9F95C">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23.1合同未尽事项见</w:t>
      </w:r>
      <w:r>
        <w:rPr>
          <w:rStyle w:val="19"/>
          <w:rFonts w:hint="eastAsia" w:ascii="宋体" w:hAnsi="宋体" w:eastAsia="宋体" w:cs="宋体"/>
          <w:color w:val="333333"/>
          <w:shd w:val="clear" w:color="auto" w:fill="FFFFFF"/>
        </w:rPr>
        <w:t>【政府采购合同专用条款】</w:t>
      </w:r>
      <w:r>
        <w:rPr>
          <w:rFonts w:hint="eastAsia" w:ascii="宋体" w:hAnsi="宋体" w:eastAsia="宋体" w:cs="宋体"/>
          <w:color w:val="333333"/>
          <w:shd w:val="clear" w:color="auto" w:fill="FFFFFF"/>
        </w:rPr>
        <w:t>。</w:t>
      </w:r>
    </w:p>
    <w:p w14:paraId="05D0A811">
      <w:pPr>
        <w:pStyle w:val="4"/>
        <w:widowControl/>
        <w:wordWrap w:val="0"/>
        <w:spacing w:beforeAutospacing="0" w:afterAutospacing="0" w:line="38" w:lineRule="atLeast"/>
        <w:ind w:firstLine="420"/>
        <w:jc w:val="both"/>
        <w:rPr>
          <w:rFonts w:ascii="宋体" w:hAnsi="宋体" w:eastAsia="宋体" w:cs="宋体"/>
        </w:rPr>
      </w:pPr>
      <w:r>
        <w:rPr>
          <w:rFonts w:hint="eastAsia" w:ascii="宋体" w:hAnsi="宋体" w:eastAsia="宋体" w:cs="宋体"/>
          <w:color w:val="333333"/>
          <w:shd w:val="clear" w:color="auto" w:fill="FFFFFF"/>
        </w:rPr>
        <w:t>23.2 合同附件与合同正文具有同等的法律效力。</w:t>
      </w:r>
    </w:p>
    <w:p w14:paraId="33CCCD75">
      <w:pPr>
        <w:pStyle w:val="6"/>
        <w:widowControl/>
        <w:wordWrap w:val="0"/>
        <w:spacing w:beforeAutospacing="0" w:afterAutospacing="0" w:line="30" w:lineRule="atLeast"/>
        <w:jc w:val="center"/>
        <w:rPr>
          <w:rFonts w:hint="default" w:cs="宋体"/>
        </w:rPr>
      </w:pPr>
      <w:r>
        <w:rPr>
          <w:rFonts w:cs="宋体"/>
          <w:color w:val="333333"/>
          <w:shd w:val="clear" w:color="auto" w:fill="FFFFFF"/>
        </w:rPr>
        <w:t>第三节 政府采购合同专用条款</w:t>
      </w:r>
    </w:p>
    <w:tbl>
      <w:tblPr>
        <w:tblStyle w:val="17"/>
        <w:tblW w:w="854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407"/>
        <w:gridCol w:w="2451"/>
        <w:gridCol w:w="4686"/>
      </w:tblGrid>
      <w:tr w14:paraId="23E632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AB86EF">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第1.2（6）项</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120B07">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联合体具体要求</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3D2396">
            <w:pPr>
              <w:jc w:val="left"/>
              <w:rPr>
                <w:rFonts w:ascii="宋体" w:hAnsi="宋体" w:eastAsia="宋体" w:cs="宋体"/>
                <w:sz w:val="24"/>
              </w:rPr>
            </w:pPr>
          </w:p>
        </w:tc>
      </w:tr>
      <w:tr w14:paraId="09DEDB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4D57E5">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第1.2（7）项</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09582D">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其他术语解释</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F384C2">
            <w:pPr>
              <w:jc w:val="left"/>
              <w:rPr>
                <w:rFonts w:ascii="宋体" w:hAnsi="宋体" w:eastAsia="宋体" w:cs="宋体"/>
                <w:sz w:val="24"/>
              </w:rPr>
            </w:pPr>
          </w:p>
        </w:tc>
      </w:tr>
      <w:tr w14:paraId="668681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7BE1B1">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第4.4款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DBD01A">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履约验收中甲方提出异议或作出说明的期限</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5D10BE">
            <w:pPr>
              <w:jc w:val="left"/>
              <w:rPr>
                <w:rFonts w:ascii="宋体" w:hAnsi="宋体" w:eastAsia="宋体" w:cs="宋体"/>
                <w:sz w:val="24"/>
              </w:rPr>
            </w:pPr>
          </w:p>
        </w:tc>
      </w:tr>
      <w:tr w14:paraId="46DE25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A600F4">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第4.6款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E131C3">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约定甲方承担的其他义务和责任</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07C3AE">
            <w:pPr>
              <w:jc w:val="left"/>
              <w:rPr>
                <w:rFonts w:ascii="宋体" w:hAnsi="宋体" w:eastAsia="宋体" w:cs="宋体"/>
                <w:sz w:val="24"/>
              </w:rPr>
            </w:pPr>
          </w:p>
        </w:tc>
      </w:tr>
      <w:tr w14:paraId="09D07F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F00FC1">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第5.4款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D038BA">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约定乙方承担的其他义务和责任</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482603">
            <w:pPr>
              <w:jc w:val="left"/>
              <w:rPr>
                <w:rFonts w:ascii="宋体" w:hAnsi="宋体" w:eastAsia="宋体" w:cs="宋体"/>
                <w:sz w:val="24"/>
              </w:rPr>
            </w:pPr>
          </w:p>
        </w:tc>
      </w:tr>
      <w:tr w14:paraId="311BFA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E417A1">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第6.1款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CC9EF7">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履行合同义务的顺序</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02C0BC">
            <w:pPr>
              <w:jc w:val="left"/>
              <w:rPr>
                <w:rFonts w:ascii="宋体" w:hAnsi="宋体" w:eastAsia="宋体" w:cs="宋体"/>
                <w:sz w:val="24"/>
              </w:rPr>
            </w:pPr>
          </w:p>
        </w:tc>
      </w:tr>
      <w:tr w14:paraId="46A196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vMerge w:val="restar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973D5D">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第7.1款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EC0AE4">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包装特殊要求</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1D29A1">
            <w:pPr>
              <w:jc w:val="left"/>
              <w:rPr>
                <w:rFonts w:ascii="宋体" w:hAnsi="宋体" w:eastAsia="宋体" w:cs="宋体"/>
                <w:sz w:val="24"/>
              </w:rPr>
            </w:pPr>
          </w:p>
        </w:tc>
      </w:tr>
      <w:tr w14:paraId="138F15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vMerge w:val="continue"/>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DA0453">
            <w:pPr>
              <w:jc w:val="left"/>
              <w:rPr>
                <w:rFonts w:ascii="宋体" w:hAnsi="宋体" w:eastAsia="宋体" w:cs="宋体"/>
                <w:sz w:val="24"/>
              </w:rPr>
            </w:pP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B4DB94">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指定现场</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EEEF3D">
            <w:pPr>
              <w:jc w:val="left"/>
              <w:rPr>
                <w:rFonts w:ascii="宋体" w:hAnsi="宋体" w:eastAsia="宋体" w:cs="宋体"/>
                <w:sz w:val="24"/>
              </w:rPr>
            </w:pPr>
          </w:p>
        </w:tc>
      </w:tr>
      <w:tr w14:paraId="2D2096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ED5318">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第7.2款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05D6C9">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运输特殊要求</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2DE03E">
            <w:pPr>
              <w:jc w:val="left"/>
              <w:rPr>
                <w:rFonts w:ascii="宋体" w:hAnsi="宋体" w:eastAsia="宋体" w:cs="宋体"/>
                <w:sz w:val="24"/>
              </w:rPr>
            </w:pPr>
          </w:p>
        </w:tc>
      </w:tr>
      <w:tr w14:paraId="6C88F0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66D6E2">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第7.3款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52FF9B">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保险要求</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23AB7B">
            <w:pPr>
              <w:jc w:val="left"/>
              <w:rPr>
                <w:rFonts w:ascii="宋体" w:hAnsi="宋体" w:eastAsia="宋体" w:cs="宋体"/>
                <w:sz w:val="24"/>
              </w:rPr>
            </w:pPr>
          </w:p>
        </w:tc>
      </w:tr>
      <w:tr w14:paraId="7A355A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943523">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第8.2（1）项</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D85CB9">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质量保证期</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915CCD">
            <w:pPr>
              <w:jc w:val="left"/>
              <w:rPr>
                <w:rFonts w:ascii="宋体" w:hAnsi="宋体" w:eastAsia="宋体" w:cs="宋体"/>
                <w:sz w:val="24"/>
              </w:rPr>
            </w:pPr>
          </w:p>
        </w:tc>
      </w:tr>
      <w:tr w14:paraId="4B748E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00420F">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第8.2（3）项</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2FF318">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货物质量缺陷响应时间</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4382C1">
            <w:pPr>
              <w:jc w:val="left"/>
              <w:rPr>
                <w:rFonts w:ascii="宋体" w:hAnsi="宋体" w:eastAsia="宋体" w:cs="宋体"/>
                <w:sz w:val="24"/>
              </w:rPr>
            </w:pPr>
          </w:p>
        </w:tc>
      </w:tr>
      <w:tr w14:paraId="60B7AE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38CF7A">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第11.1款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E6BD3D">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其他应当保密的信息</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01A5B8">
            <w:pPr>
              <w:jc w:val="left"/>
              <w:rPr>
                <w:rFonts w:ascii="宋体" w:hAnsi="宋体" w:eastAsia="宋体" w:cs="宋体"/>
                <w:sz w:val="24"/>
              </w:rPr>
            </w:pPr>
          </w:p>
        </w:tc>
      </w:tr>
      <w:tr w14:paraId="79DFC6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15613D">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第12.2款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BAEE57">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合同价款支付时间</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6B9DE1">
            <w:pPr>
              <w:jc w:val="left"/>
              <w:rPr>
                <w:rFonts w:ascii="宋体" w:hAnsi="宋体" w:eastAsia="宋体" w:cs="宋体"/>
                <w:sz w:val="24"/>
              </w:rPr>
            </w:pPr>
          </w:p>
        </w:tc>
      </w:tr>
      <w:tr w14:paraId="6410E5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EF37AC">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第13.2款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6FE182">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履约保证金不予退还的情形</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8D8AC9">
            <w:pPr>
              <w:jc w:val="left"/>
              <w:rPr>
                <w:rFonts w:ascii="宋体" w:hAnsi="宋体" w:eastAsia="宋体" w:cs="宋体"/>
                <w:sz w:val="24"/>
              </w:rPr>
            </w:pPr>
          </w:p>
        </w:tc>
      </w:tr>
      <w:tr w14:paraId="09199A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8E3605">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第13.3款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541614">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履约保证金退还时间及逾期退还的违约金</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74108F">
            <w:pPr>
              <w:jc w:val="left"/>
              <w:rPr>
                <w:rFonts w:ascii="宋体" w:hAnsi="宋体" w:eastAsia="宋体" w:cs="宋体"/>
                <w:sz w:val="24"/>
              </w:rPr>
            </w:pPr>
          </w:p>
        </w:tc>
      </w:tr>
      <w:tr w14:paraId="246B68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B1155B">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第14.1（3）项</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E417FB">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运行监督、维修期限</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D436CB">
            <w:pPr>
              <w:jc w:val="left"/>
              <w:rPr>
                <w:rFonts w:ascii="宋体" w:hAnsi="宋体" w:eastAsia="宋体" w:cs="宋体"/>
                <w:sz w:val="24"/>
              </w:rPr>
            </w:pPr>
          </w:p>
        </w:tc>
      </w:tr>
      <w:tr w14:paraId="7E83DB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136AD4">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第14.1（5）项</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9948D4">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货物回收的约定</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C1A242">
            <w:pPr>
              <w:jc w:val="left"/>
              <w:rPr>
                <w:rFonts w:ascii="宋体" w:hAnsi="宋体" w:eastAsia="宋体" w:cs="宋体"/>
                <w:sz w:val="24"/>
              </w:rPr>
            </w:pPr>
          </w:p>
        </w:tc>
      </w:tr>
      <w:tr w14:paraId="128D0C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80BDEC">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第14.1（6）项</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4CDA6B">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乙方提供的其他服务</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94B29E">
            <w:pPr>
              <w:jc w:val="left"/>
              <w:rPr>
                <w:rFonts w:ascii="宋体" w:hAnsi="宋体" w:eastAsia="宋体" w:cs="宋体"/>
                <w:sz w:val="24"/>
              </w:rPr>
            </w:pPr>
          </w:p>
        </w:tc>
      </w:tr>
      <w:tr w14:paraId="0C688F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0868A4">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第15.1款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E7D303">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修理、重作、更换相关具体规定</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6019F">
            <w:pPr>
              <w:jc w:val="left"/>
              <w:rPr>
                <w:rFonts w:ascii="宋体" w:hAnsi="宋体" w:eastAsia="宋体" w:cs="宋体"/>
                <w:sz w:val="24"/>
              </w:rPr>
            </w:pPr>
          </w:p>
        </w:tc>
      </w:tr>
      <w:tr w14:paraId="7D807F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215D9B">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第15.2（2）项</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0CF64">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迟延交货赔偿费</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07E77D">
            <w:pPr>
              <w:jc w:val="left"/>
              <w:rPr>
                <w:rFonts w:ascii="宋体" w:hAnsi="宋体" w:eastAsia="宋体" w:cs="宋体"/>
                <w:sz w:val="24"/>
              </w:rPr>
            </w:pPr>
          </w:p>
        </w:tc>
      </w:tr>
      <w:tr w14:paraId="6053D6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6D490D">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第15.3款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394E2E">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逾期付款利息</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DA3F63">
            <w:pPr>
              <w:jc w:val="left"/>
              <w:rPr>
                <w:rFonts w:ascii="宋体" w:hAnsi="宋体" w:eastAsia="宋体" w:cs="宋体"/>
                <w:sz w:val="24"/>
              </w:rPr>
            </w:pPr>
          </w:p>
        </w:tc>
      </w:tr>
      <w:tr w14:paraId="63ED5F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A1CBAF">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第15.4款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7FAAFC">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其他违约责任</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C3F515">
            <w:pPr>
              <w:jc w:val="left"/>
              <w:rPr>
                <w:rFonts w:ascii="宋体" w:hAnsi="宋体" w:eastAsia="宋体" w:cs="宋体"/>
                <w:sz w:val="24"/>
              </w:rPr>
            </w:pPr>
          </w:p>
        </w:tc>
      </w:tr>
      <w:tr w14:paraId="44C09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B4AADF">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第19.2款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959DCF">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解决争议的方法</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752144">
            <w:pPr>
              <w:pStyle w:val="4"/>
              <w:widowControl/>
              <w:wordWrap w:val="0"/>
              <w:spacing w:beforeAutospacing="0" w:afterAutospacing="0" w:line="38" w:lineRule="atLeast"/>
              <w:rPr>
                <w:rFonts w:ascii="宋体" w:hAnsi="宋体" w:eastAsia="宋体" w:cs="宋体"/>
              </w:rPr>
            </w:pPr>
            <w:r>
              <w:rPr>
                <w:rFonts w:hint="eastAsia" w:ascii="宋体" w:hAnsi="宋体" w:eastAsia="宋体" w:cs="宋体"/>
              </w:rPr>
              <w:t>因本合同及合同有关事项发生的争议，按下列第____ 种方式解决：</w:t>
            </w:r>
          </w:p>
          <w:p w14:paraId="200F1836">
            <w:pPr>
              <w:pStyle w:val="4"/>
              <w:widowControl/>
              <w:wordWrap w:val="0"/>
              <w:spacing w:beforeAutospacing="0" w:afterAutospacing="0" w:line="38" w:lineRule="atLeast"/>
              <w:rPr>
                <w:rFonts w:ascii="宋体" w:hAnsi="宋体" w:eastAsia="宋体" w:cs="宋体"/>
              </w:rPr>
            </w:pPr>
            <w:r>
              <w:rPr>
                <w:rFonts w:hint="eastAsia" w:ascii="宋体" w:hAnsi="宋体" w:eastAsia="宋体" w:cs="宋体"/>
              </w:rPr>
              <w:t>（1）向 __________________仲裁委员会申请仲裁，仲裁地点为 ____________ ；</w:t>
            </w:r>
          </w:p>
          <w:p w14:paraId="105FD2AB">
            <w:pPr>
              <w:pStyle w:val="4"/>
              <w:widowControl/>
              <w:wordWrap w:val="0"/>
              <w:spacing w:beforeAutospacing="0" w:afterAutospacing="0" w:line="38" w:lineRule="atLeast"/>
              <w:rPr>
                <w:rFonts w:ascii="宋体" w:hAnsi="宋体" w:eastAsia="宋体" w:cs="宋体"/>
              </w:rPr>
            </w:pPr>
            <w:r>
              <w:rPr>
                <w:rFonts w:hint="eastAsia" w:ascii="宋体" w:hAnsi="宋体" w:eastAsia="宋体" w:cs="宋体"/>
              </w:rPr>
              <w:t>（2）向__________________人民法院起诉。</w:t>
            </w:r>
          </w:p>
        </w:tc>
      </w:tr>
      <w:tr w14:paraId="044AA8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1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A75744">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第二节 第23.1款</w:t>
            </w:r>
          </w:p>
        </w:tc>
        <w:tc>
          <w:tcPr>
            <w:tcW w:w="24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0C2308">
            <w:pPr>
              <w:widowControl/>
              <w:wordWrap w:val="0"/>
              <w:spacing w:line="480" w:lineRule="atLeast"/>
              <w:jc w:val="left"/>
              <w:rPr>
                <w:rFonts w:ascii="宋体" w:hAnsi="宋体" w:eastAsia="宋体" w:cs="宋体"/>
                <w:sz w:val="24"/>
              </w:rPr>
            </w:pPr>
            <w:r>
              <w:rPr>
                <w:rFonts w:hint="eastAsia" w:ascii="宋体" w:hAnsi="宋体" w:eastAsia="宋体" w:cs="宋体"/>
                <w:kern w:val="0"/>
                <w:sz w:val="24"/>
              </w:rPr>
              <w:t>其他专用条款</w:t>
            </w:r>
          </w:p>
        </w:tc>
        <w:tc>
          <w:tcPr>
            <w:tcW w:w="4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84A017">
            <w:pPr>
              <w:jc w:val="left"/>
              <w:rPr>
                <w:rFonts w:ascii="宋体" w:hAnsi="宋体" w:eastAsia="宋体" w:cs="宋体"/>
                <w:sz w:val="24"/>
              </w:rPr>
            </w:pPr>
          </w:p>
        </w:tc>
      </w:tr>
    </w:tbl>
    <w:p w14:paraId="324FEB1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7B94DD9A">
      <w:pPr>
        <w:rPr>
          <w:rFonts w:ascii="宋体" w:hAnsi="宋体" w:eastAsia="宋体" w:cs="宋体"/>
          <w:color w:val="333333"/>
          <w:sz w:val="39"/>
          <w:szCs w:val="39"/>
          <w:shd w:val="clear" w:color="auto" w:fill="FFFFFF"/>
        </w:rPr>
      </w:pPr>
      <w:r>
        <w:rPr>
          <w:rFonts w:hint="eastAsia" w:ascii="宋体" w:hAnsi="宋体" w:eastAsia="宋体" w:cs="宋体"/>
          <w:color w:val="333333"/>
          <w:sz w:val="39"/>
          <w:szCs w:val="39"/>
          <w:shd w:val="clear" w:color="auto" w:fill="FFFFFF"/>
        </w:rPr>
        <w:br w:type="page"/>
      </w:r>
    </w:p>
    <w:p w14:paraId="10322F44">
      <w:pPr>
        <w:pStyle w:val="8"/>
        <w:widowControl/>
        <w:shd w:val="clear" w:color="auto" w:fill="FFFFFF"/>
        <w:spacing w:beforeAutospacing="0" w:afterAutospacing="0" w:line="480" w:lineRule="atLeast"/>
        <w:jc w:val="center"/>
        <w:rPr>
          <w:rFonts w:hint="default" w:cs="宋体"/>
          <w:color w:val="333333"/>
          <w:sz w:val="39"/>
          <w:szCs w:val="39"/>
        </w:rPr>
      </w:pPr>
      <w:r>
        <w:rPr>
          <w:rFonts w:cs="宋体"/>
          <w:color w:val="333333"/>
          <w:sz w:val="39"/>
          <w:szCs w:val="39"/>
          <w:shd w:val="clear" w:color="auto" w:fill="FFFFFF"/>
        </w:rPr>
        <w:t>第七章 电子投标文件格式</w:t>
      </w:r>
    </w:p>
    <w:p w14:paraId="4B6D3770">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编制说明</w:t>
      </w:r>
    </w:p>
    <w:p w14:paraId="45DF326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1、除招标文件另有规定外，本章中：</w:t>
      </w:r>
    </w:p>
    <w:p w14:paraId="4DC363C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1.1涉及投标人的“全称”：</w:t>
      </w:r>
    </w:p>
    <w:p w14:paraId="1557A68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（1）不接受联合体投标的，指投标人的全称。</w:t>
      </w:r>
    </w:p>
    <w:p w14:paraId="0B9473C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（2）接受联合体投标且投标人为联合体的，指牵头方的全称并加注（联合体牵头方），即应表述为：“牵头方的全称（联合体牵头方）”。</w:t>
      </w:r>
    </w:p>
    <w:p w14:paraId="0A9EF12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1.2涉及投标人“加盖单位公章”：</w:t>
      </w:r>
    </w:p>
    <w:p w14:paraId="2C58C51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（1）不接受联合体投标的，指加盖投标人的单位公章。</w:t>
      </w:r>
    </w:p>
    <w:p w14:paraId="0610E05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（2）接受联合体投标且投标人为联合体的，指加盖联合体牵头方的单位公章。</w:t>
      </w:r>
    </w:p>
    <w:p w14:paraId="451E2F7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1.3涉及“投标人代表签字”：</w:t>
      </w:r>
    </w:p>
    <w:p w14:paraId="5E31004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（1）不接受联合体投标的，指由投标人的单位负责人或其授权的委托代理人签字，由委托代理人签字的，应提供“单位授权书”。</w:t>
      </w:r>
    </w:p>
    <w:p w14:paraId="0A7C6A15">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（2）接受联合体投标且投标人为联合体的，指由联合体牵头方的单位负责人或其授权的委托代理人签字，由委托代理人签字的，应提供“单位授权书”。</w:t>
      </w:r>
    </w:p>
    <w:p w14:paraId="20CC8A9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1.4“其他组织”指合伙企业、非企业专业服务机构、个体工商户、农村承包经营户等。</w:t>
      </w:r>
    </w:p>
    <w:p w14:paraId="7EC6A04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1.5“自然人”指具有完全民事行为能力、能够承担民事责任和义务的中国公民。</w:t>
      </w:r>
    </w:p>
    <w:p w14:paraId="5829CA2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2、除招标文件另有规定外，本章中“投标人的资格及资信证明文件”：</w:t>
      </w:r>
    </w:p>
    <w:p w14:paraId="3585EB4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2.1投标人应按照招标文件第四章第1.3条第（2）款规定及本章规定进行编制，如有必要，可增加附页，附页作为资格及资信文件的组成部分。</w:t>
      </w:r>
    </w:p>
    <w:p w14:paraId="33875EA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2.2接受联合体投标且投标人为联合体的，联合体中的各方均应按照本章第2.1条规定提交相应的全部资料。</w:t>
      </w:r>
    </w:p>
    <w:p w14:paraId="7BE82C3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3、投标人对电子投标文件的索引应编制页码。</w:t>
      </w:r>
    </w:p>
    <w:p w14:paraId="7C6FC27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4、本章提供格式仅供参考，投标人应根据自身实际情况制作电子投标文件。</w:t>
      </w:r>
    </w:p>
    <w:p w14:paraId="27B347B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0569C19C">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封面格式(资格及资信证明部分)</w:t>
      </w:r>
    </w:p>
    <w:p w14:paraId="24833BE5">
      <w:pPr>
        <w:pStyle w:val="7"/>
        <w:widowControl/>
        <w:spacing w:beforeAutospacing="0" w:afterAutospacing="0"/>
        <w:jc w:val="center"/>
        <w:rPr>
          <w:rFonts w:hint="default" w:cs="宋体"/>
          <w:sz w:val="78"/>
          <w:szCs w:val="78"/>
        </w:rPr>
      </w:pPr>
      <w:r>
        <w:rPr>
          <w:rFonts w:cs="宋体"/>
          <w:sz w:val="78"/>
          <w:szCs w:val="78"/>
        </w:rPr>
        <w:t>福建省政府采购投标文件</w:t>
      </w:r>
    </w:p>
    <w:p w14:paraId="01AEB0B5">
      <w:pPr>
        <w:pStyle w:val="7"/>
        <w:widowControl/>
        <w:spacing w:beforeAutospacing="0" w:afterAutospacing="0"/>
        <w:jc w:val="center"/>
        <w:rPr>
          <w:rFonts w:hint="default" w:cs="宋体"/>
          <w:sz w:val="78"/>
          <w:szCs w:val="78"/>
        </w:rPr>
      </w:pPr>
      <w:r>
        <w:rPr>
          <w:rFonts w:cs="宋体"/>
          <w:sz w:val="78"/>
          <w:szCs w:val="78"/>
        </w:rPr>
        <w:t>（资格及资信证明部分）</w:t>
      </w:r>
    </w:p>
    <w:p w14:paraId="3802064B">
      <w:pPr>
        <w:widowControl/>
        <w:spacing w:after="240"/>
        <w:jc w:val="left"/>
      </w:pPr>
      <w:r>
        <w:rPr>
          <w:rFonts w:ascii="宋体" w:hAnsi="宋体" w:eastAsia="宋体" w:cs="宋体"/>
          <w:kern w:val="0"/>
          <w:sz w:val="24"/>
        </w:rPr>
        <w:br w:type="textWrapping"/>
      </w:r>
    </w:p>
    <w:p w14:paraId="7B68EA88">
      <w:pPr>
        <w:pStyle w:val="8"/>
        <w:widowControl/>
        <w:spacing w:beforeAutospacing="0" w:afterAutospacing="0" w:line="480" w:lineRule="atLeast"/>
        <w:jc w:val="center"/>
        <w:rPr>
          <w:rFonts w:hint="default" w:cs="宋体"/>
          <w:sz w:val="39"/>
          <w:szCs w:val="39"/>
        </w:rPr>
      </w:pPr>
      <w:r>
        <w:rPr>
          <w:rFonts w:cs="宋体"/>
          <w:sz w:val="39"/>
          <w:szCs w:val="39"/>
        </w:rPr>
        <w:t>（填写正本或副本）</w:t>
      </w:r>
    </w:p>
    <w:p w14:paraId="4D813E69">
      <w:pPr>
        <w:widowControl/>
        <w:spacing w:after="240"/>
        <w:jc w:val="left"/>
      </w:pPr>
      <w:r>
        <w:rPr>
          <w:rFonts w:ascii="宋体" w:hAnsi="宋体" w:eastAsia="宋体" w:cs="宋体"/>
          <w:kern w:val="0"/>
          <w:sz w:val="24"/>
        </w:rPr>
        <w:br w:type="textWrapping"/>
      </w:r>
      <w:r>
        <w:rPr>
          <w:rFonts w:ascii="宋体" w:hAnsi="宋体" w:eastAsia="宋体" w:cs="宋体"/>
          <w:kern w:val="0"/>
          <w:sz w:val="24"/>
        </w:rPr>
        <w:br w:type="textWrapping"/>
      </w:r>
      <w:r>
        <w:rPr>
          <w:rFonts w:ascii="宋体" w:hAnsi="宋体" w:eastAsia="宋体" w:cs="宋体"/>
          <w:kern w:val="0"/>
          <w:sz w:val="24"/>
        </w:rPr>
        <w:br w:type="textWrapping"/>
      </w:r>
    </w:p>
    <w:p w14:paraId="228E6EAC">
      <w:pPr>
        <w:pStyle w:val="6"/>
        <w:widowControl/>
        <w:spacing w:beforeAutospacing="0" w:afterAutospacing="0" w:line="480" w:lineRule="atLeast"/>
        <w:jc w:val="center"/>
        <w:rPr>
          <w:rFonts w:hint="default" w:cs="宋体"/>
        </w:rPr>
      </w:pPr>
      <w:r>
        <w:rPr>
          <w:rFonts w:cs="宋体"/>
        </w:rPr>
        <w:t>（项目名称：（由投标人填写）</w:t>
      </w:r>
    </w:p>
    <w:p w14:paraId="2E00BDBD">
      <w:pPr>
        <w:pStyle w:val="6"/>
        <w:widowControl/>
        <w:spacing w:beforeAutospacing="0" w:afterAutospacing="0" w:line="480" w:lineRule="atLeast"/>
        <w:jc w:val="center"/>
        <w:rPr>
          <w:rFonts w:hint="default" w:cs="宋体"/>
        </w:rPr>
      </w:pPr>
      <w:r>
        <w:rPr>
          <w:rFonts w:cs="宋体"/>
        </w:rPr>
        <w:t>（备案编号：（由投标人填写）</w:t>
      </w:r>
    </w:p>
    <w:p w14:paraId="794A5B3E">
      <w:pPr>
        <w:pStyle w:val="6"/>
        <w:widowControl/>
        <w:spacing w:beforeAutospacing="0" w:afterAutospacing="0" w:line="480" w:lineRule="atLeast"/>
        <w:jc w:val="center"/>
        <w:rPr>
          <w:rFonts w:hint="default" w:cs="宋体"/>
        </w:rPr>
      </w:pPr>
      <w:r>
        <w:rPr>
          <w:rFonts w:cs="宋体"/>
        </w:rPr>
        <w:t>（项目编号：（由投标人填写）</w:t>
      </w:r>
    </w:p>
    <w:p w14:paraId="271401F5">
      <w:pPr>
        <w:pStyle w:val="6"/>
        <w:widowControl/>
        <w:spacing w:beforeAutospacing="0" w:afterAutospacing="0" w:line="480" w:lineRule="atLeast"/>
        <w:jc w:val="center"/>
        <w:rPr>
          <w:rFonts w:hint="default" w:cs="宋体"/>
        </w:rPr>
      </w:pPr>
      <w:r>
        <w:rPr>
          <w:rFonts w:cs="宋体"/>
        </w:rPr>
        <w:t>（所投采购包：（由投标人填写）</w:t>
      </w:r>
    </w:p>
    <w:p w14:paraId="07F1853B">
      <w:pPr>
        <w:widowControl/>
        <w:spacing w:after="240"/>
        <w:jc w:val="left"/>
      </w:pPr>
    </w:p>
    <w:p w14:paraId="28556F00">
      <w:pPr>
        <w:pStyle w:val="6"/>
        <w:widowControl/>
        <w:spacing w:beforeAutospacing="0" w:afterAutospacing="0" w:line="480" w:lineRule="atLeast"/>
        <w:jc w:val="center"/>
        <w:rPr>
          <w:rFonts w:hint="default" w:cs="宋体"/>
        </w:rPr>
      </w:pPr>
      <w:r>
        <w:rPr>
          <w:rFonts w:cs="宋体"/>
        </w:rPr>
        <w:t>投标人：（填写“全称”）</w:t>
      </w:r>
    </w:p>
    <w:p w14:paraId="7D03CE10">
      <w:pPr>
        <w:pStyle w:val="6"/>
        <w:widowControl/>
        <w:spacing w:beforeAutospacing="0" w:afterAutospacing="0" w:line="480" w:lineRule="atLeast"/>
        <w:jc w:val="center"/>
        <w:rPr>
          <w:rFonts w:hint="default" w:cs="宋体"/>
        </w:rPr>
      </w:pPr>
      <w:r>
        <w:rPr>
          <w:rFonts w:cs="宋体"/>
        </w:rPr>
        <w:t>（由投标人填写）年（由投标人填写）月</w:t>
      </w:r>
    </w:p>
    <w:p w14:paraId="4968187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4C8091D4">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索引</w:t>
      </w:r>
    </w:p>
    <w:p w14:paraId="2411CA0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一、投标函</w:t>
      </w:r>
    </w:p>
    <w:p w14:paraId="09731725">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二、投标人的资格及资信证明文件</w:t>
      </w:r>
    </w:p>
    <w:p w14:paraId="5DC0029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三、投标保证金</w:t>
      </w:r>
    </w:p>
    <w:p w14:paraId="7C9D301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4FD4A19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资格及资信证明部分中不得出现报价部分的全部或部分的投标报价信息（或组成资料），否则资格审查不合格。（联合体协议及分包意向协议中的比例规定，不适用本条款）</w:t>
      </w:r>
    </w:p>
    <w:p w14:paraId="73EEB8F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7E4DBA9F">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一、投标函</w:t>
      </w:r>
    </w:p>
    <w:p w14:paraId="02B0918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AF85DE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兹收到贵单位关于</w:t>
      </w:r>
      <w:r>
        <w:rPr>
          <w:rFonts w:hint="eastAsia" w:ascii="宋体" w:hAnsi="宋体" w:eastAsia="宋体" w:cs="宋体"/>
          <w:u w:val="single"/>
        </w:rPr>
        <w:t>（填写“项目名称”） </w:t>
      </w:r>
      <w:r>
        <w:rPr>
          <w:rFonts w:hint="eastAsia" w:ascii="宋体" w:hAnsi="宋体" w:eastAsia="宋体" w:cs="宋体"/>
        </w:rPr>
        <w:t>项目</w:t>
      </w:r>
      <w:r>
        <w:rPr>
          <w:rFonts w:hint="eastAsia" w:ascii="宋体" w:hAnsi="宋体" w:eastAsia="宋体" w:cs="宋体"/>
          <w:u w:val="single"/>
        </w:rPr>
        <w:t>（项目编号：　　　　　） </w:t>
      </w:r>
      <w:r>
        <w:rPr>
          <w:rFonts w:hint="eastAsia" w:ascii="宋体" w:hAnsi="宋体" w:eastAsia="宋体" w:cs="宋体"/>
        </w:rPr>
        <w:t>的投标邀请，本投标人代表</w:t>
      </w:r>
      <w:r>
        <w:rPr>
          <w:rFonts w:hint="eastAsia" w:ascii="宋体" w:hAnsi="宋体" w:eastAsia="宋体" w:cs="宋体"/>
          <w:u w:val="single"/>
        </w:rPr>
        <w:t>（填写“全名”） </w:t>
      </w:r>
      <w:r>
        <w:rPr>
          <w:rFonts w:hint="eastAsia" w:ascii="宋体" w:hAnsi="宋体" w:eastAsia="宋体" w:cs="宋体"/>
        </w:rPr>
        <w:t>已获得我方正式授权并代表投标人（填写“全称”）参加投标，并提交电子投标文件。我方提交的全部电子投标文件由下述部分组成：</w:t>
      </w:r>
    </w:p>
    <w:p w14:paraId="011466C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（1）资格及资信证明部分</w:t>
      </w:r>
    </w:p>
    <w:p w14:paraId="390D1ED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①投标函</w:t>
      </w:r>
    </w:p>
    <w:p w14:paraId="1E6296C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②投标人的资格及资信证明文件</w:t>
      </w:r>
    </w:p>
    <w:p w14:paraId="0434C18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③投标保证金</w:t>
      </w:r>
    </w:p>
    <w:p w14:paraId="1F7DF0A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（2）报价部分</w:t>
      </w:r>
    </w:p>
    <w:p w14:paraId="2CF0125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①开标（报价）一览表</w:t>
      </w:r>
    </w:p>
    <w:p w14:paraId="4DC293C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②投标（响应）报价明细表</w:t>
      </w:r>
    </w:p>
    <w:p w14:paraId="4940EB5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③招标文件规定的价格扣除证明材料（若有）</w:t>
      </w:r>
    </w:p>
    <w:p w14:paraId="6069459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④招标文件规定的加分证明材料（若有）</w:t>
      </w:r>
    </w:p>
    <w:p w14:paraId="03E423B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（3）技术商务部分</w:t>
      </w:r>
    </w:p>
    <w:p w14:paraId="6ABF125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①标的说明一览表</w:t>
      </w:r>
    </w:p>
    <w:p w14:paraId="7ED1107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②技术和服务要求响应表</w:t>
      </w:r>
    </w:p>
    <w:p w14:paraId="70131DB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③商务条件响应表</w:t>
      </w:r>
    </w:p>
    <w:p w14:paraId="7B3E986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④投标人提交的其他资料（若有）</w:t>
      </w:r>
    </w:p>
    <w:p w14:paraId="51B2ED8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根据本函，本投标人代表宣布我方保证遵守招标文件的全部规定，同时：</w:t>
      </w:r>
    </w:p>
    <w:p w14:paraId="5A17AFD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1、确认：</w:t>
      </w:r>
    </w:p>
    <w:p w14:paraId="7EC324B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1.1所投采购包的投标报价详见“开标（报价）一览表”及“投标（响应）报价明细表”。</w:t>
      </w:r>
    </w:p>
    <w:p w14:paraId="11690FE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1.2我方已详细审查全部招标文件[包括但不限于：有关附件（若有）、澄清或修改（若有）等]，并自行承担因对全部招标文件理解不正确或误解而产生的相应后果和责任。</w:t>
      </w:r>
    </w:p>
    <w:p w14:paraId="2FA354A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2、承诺及声明：</w:t>
      </w:r>
    </w:p>
    <w:p w14:paraId="100B87D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2.1我方具备招标文件第一章载明的“投标人的资格要求”且符合招标文件第三章载明的“二、投标人”之规定，否则投标无效。</w:t>
      </w:r>
    </w:p>
    <w:p w14:paraId="000C32C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2.2我方提交的电子投标文件各组成部分的全部内容及资料是不可割离且真实、有效、准确、完整和不具有任何误导性的，否则产生不利后果由我方承担责任。</w:t>
      </w:r>
    </w:p>
    <w:p w14:paraId="64C0978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2.3我方提供的标的价格不高于同期市场价格，否则产生不利后果由我方承担责任。</w:t>
      </w:r>
    </w:p>
    <w:p w14:paraId="224979B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2.4投标保证金：若出现招标文件第三章规定的不予退还情形，同意贵单位不予退还。</w:t>
      </w:r>
    </w:p>
    <w:p w14:paraId="389D62B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2.5投标有效期：按照招标文件第三章规定执行，并在招标文件第二章载明的期限内保持有效。</w:t>
      </w:r>
    </w:p>
    <w:p w14:paraId="1CAF007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2.6若中标，将按照招标文件、我方电子投标文件及政府采购合同履行责任和义务。</w:t>
      </w:r>
    </w:p>
    <w:p w14:paraId="33CDE47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2.7若贵单位要求，我方同意提供与本项目投标有关的一切资料、数据或文件，并完全理解贵单位不一定要接受最低的投标报价或收到的任何投标。</w:t>
      </w:r>
    </w:p>
    <w:p w14:paraId="2A4236C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2.8我方承诺遵守《中华人民共和国劳动合同法》有关规定和《中华人民共和国妇女权益保障法 》中关于“劳动和社会保障权益”的有关要求。</w:t>
      </w:r>
    </w:p>
    <w:p w14:paraId="2134CE7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2.9我方承诺电子投标文件所提供的全部资料真实可靠，并接受评标委员会、采购人、采购代理机构、监管部门进一步审查其中任何资料真实性的要求。</w:t>
      </w:r>
    </w:p>
    <w:p w14:paraId="6657AE5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2.10除招标文件另有规定外，对于贵单位按照下述联络方式发出的任何信息或通知，均视为我方已收悉前述信息或通知的全部内容：</w:t>
      </w:r>
    </w:p>
    <w:p w14:paraId="70C6769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通信地址：</w:t>
      </w:r>
    </w:p>
    <w:p w14:paraId="54A47D7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邮编：</w:t>
      </w:r>
    </w:p>
    <w:p w14:paraId="40BCAE15">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联系方法：（包括但不限于：联系人、联系电话、手机、传真、电子邮箱等）</w:t>
      </w:r>
    </w:p>
    <w:p w14:paraId="60DC4DF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投标人：（全称并加盖单位公章）</w:t>
      </w:r>
    </w:p>
    <w:p w14:paraId="067EA2F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日期： 年 月 日</w:t>
      </w:r>
    </w:p>
    <w:p w14:paraId="31416B5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4AF05EF2">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二、投标人的资格及资信证明文件</w:t>
      </w:r>
    </w:p>
    <w:p w14:paraId="5F49744A">
      <w:pPr>
        <w:pStyle w:val="9"/>
        <w:widowControl/>
        <w:spacing w:beforeAutospacing="0" w:afterAutospacing="0" w:line="480" w:lineRule="atLeast"/>
        <w:jc w:val="center"/>
        <w:rPr>
          <w:rFonts w:hint="default" w:cs="宋体"/>
        </w:rPr>
      </w:pPr>
      <w:r>
        <w:rPr>
          <w:rFonts w:cs="宋体"/>
        </w:rPr>
        <w:t>二-1单位授权书（若有）</w:t>
      </w:r>
    </w:p>
    <w:p w14:paraId="77ACA23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A32DFC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（填写“投标人代表全名”）</w:t>
      </w:r>
      <w:r>
        <w:rPr>
          <w:rFonts w:hint="eastAsia" w:ascii="宋体" w:hAnsi="宋体" w:eastAsia="宋体" w:cs="宋体"/>
        </w:rPr>
        <w:t>为投标人代表，代表我方参加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F72CFA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投标人代表无转委权。特此授权。</w:t>
      </w:r>
    </w:p>
    <w:p w14:paraId="4898E5C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（以下无正文）</w:t>
      </w:r>
    </w:p>
    <w:p w14:paraId="39475C5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7B844B7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投标人代表：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00E575E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授权方</w:t>
      </w:r>
    </w:p>
    <w:p w14:paraId="6AF5946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472259EA">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签署日期： 年 月 日</w:t>
      </w:r>
    </w:p>
    <w:p w14:paraId="4E96960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附：单位负责人、投标人代表的身份证正反面复印件</w:t>
      </w:r>
    </w:p>
    <w:p w14:paraId="741F727D">
      <w:pPr>
        <w:pStyle w:val="4"/>
        <w:widowControl/>
        <w:spacing w:beforeAutospacing="0" w:afterAutospacing="0" w:line="480" w:lineRule="atLeast"/>
        <w:ind w:firstLine="420"/>
        <w:jc w:val="center"/>
        <w:rPr>
          <w:rFonts w:ascii="宋体" w:hAnsi="宋体" w:eastAsia="宋体" w:cs="宋体"/>
        </w:rPr>
      </w:pPr>
      <w:r>
        <w:rPr>
          <w:rFonts w:hint="eastAsia" w:ascii="宋体" w:hAnsi="宋体" w:eastAsia="宋体" w:cs="宋体"/>
        </w:rPr>
        <w:t>要求：真实有效且内容完整、清晰、整洁。</w:t>
      </w:r>
    </w:p>
    <w:p w14:paraId="0EAD9F0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7F05205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14:paraId="27401BD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239B7D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3、投标人（自然人除外）：若投标人代表为单位授权的委托代理人，应提供本授权书；若投标人代表为单位负责人，应在此项下提交其身份证正反面复印件，可不提供本授权书。</w:t>
      </w:r>
    </w:p>
    <w:p w14:paraId="43E24DE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4、投标人为自然人的，可不填写本授权书。</w:t>
      </w:r>
    </w:p>
    <w:p w14:paraId="2CF0A1B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07D6F81C">
      <w:pPr>
        <w:pStyle w:val="9"/>
        <w:widowControl/>
        <w:spacing w:beforeAutospacing="0" w:afterAutospacing="0" w:line="480" w:lineRule="atLeast"/>
        <w:jc w:val="center"/>
        <w:rPr>
          <w:rFonts w:hint="default" w:cs="宋体"/>
        </w:rPr>
      </w:pPr>
      <w:r>
        <w:rPr>
          <w:rFonts w:cs="宋体"/>
        </w:rPr>
        <w:t>二-2 证明材料</w:t>
      </w:r>
    </w:p>
    <w:p w14:paraId="127761A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1775C25">
      <w:pPr>
        <w:pStyle w:val="9"/>
        <w:widowControl/>
        <w:spacing w:beforeAutospacing="0" w:afterAutospacing="0" w:line="480" w:lineRule="atLeast"/>
        <w:jc w:val="center"/>
        <w:rPr>
          <w:rFonts w:hint="default" w:cs="宋体"/>
        </w:rPr>
      </w:pPr>
      <w:r>
        <w:rPr>
          <w:rFonts w:cs="宋体"/>
        </w:rPr>
        <w:t>二-2-1 福建省政府采购供应商资格承诺函</w:t>
      </w:r>
    </w:p>
    <w:p w14:paraId="130E451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C32CE6F">
      <w:pPr>
        <w:pStyle w:val="4"/>
        <w:widowControl/>
        <w:spacing w:beforeAutospacing="0" w:afterAutospacing="0" w:line="480" w:lineRule="atLeast"/>
        <w:ind w:firstLine="840"/>
        <w:rPr>
          <w:rFonts w:ascii="宋体" w:hAnsi="宋体" w:eastAsia="宋体" w:cs="宋体"/>
        </w:rPr>
      </w:pPr>
      <w:r>
        <w:rPr>
          <w:rFonts w:hint="eastAsia" w:ascii="宋体" w:hAnsi="宋体" w:eastAsia="宋体" w:cs="宋体"/>
        </w:rPr>
        <w:t>单位名称(自然人姓名):</w:t>
      </w:r>
    </w:p>
    <w:p w14:paraId="3599CB71">
      <w:pPr>
        <w:pStyle w:val="4"/>
        <w:widowControl/>
        <w:spacing w:beforeAutospacing="0" w:afterAutospacing="0" w:line="480" w:lineRule="atLeast"/>
        <w:ind w:firstLine="840"/>
        <w:rPr>
          <w:rFonts w:ascii="宋体" w:hAnsi="宋体" w:eastAsia="宋体" w:cs="宋体"/>
        </w:rPr>
      </w:pPr>
      <w:r>
        <w:rPr>
          <w:rFonts w:hint="eastAsia" w:ascii="宋体" w:hAnsi="宋体" w:eastAsia="宋体" w:cs="宋体"/>
        </w:rPr>
        <w:t>统一社会信用代码(自然人身份证号码):</w:t>
      </w:r>
    </w:p>
    <w:p w14:paraId="7C1A8F04">
      <w:pPr>
        <w:pStyle w:val="4"/>
        <w:widowControl/>
        <w:spacing w:beforeAutospacing="0" w:afterAutospacing="0" w:line="480" w:lineRule="atLeast"/>
        <w:ind w:firstLine="840"/>
        <w:rPr>
          <w:rFonts w:ascii="宋体" w:hAnsi="宋体" w:eastAsia="宋体" w:cs="宋体"/>
        </w:rPr>
      </w:pPr>
      <w:r>
        <w:rPr>
          <w:rFonts w:hint="eastAsia" w:ascii="宋体" w:hAnsi="宋体" w:eastAsia="宋体" w:cs="宋体"/>
        </w:rPr>
        <w:t>法定代表人(负责人):</w:t>
      </w:r>
    </w:p>
    <w:p w14:paraId="1B0D82C5">
      <w:pPr>
        <w:pStyle w:val="4"/>
        <w:widowControl/>
        <w:spacing w:beforeAutospacing="0" w:afterAutospacing="0" w:line="480" w:lineRule="atLeast"/>
        <w:ind w:firstLine="840"/>
        <w:rPr>
          <w:rFonts w:ascii="宋体" w:hAnsi="宋体" w:eastAsia="宋体" w:cs="宋体"/>
        </w:rPr>
      </w:pPr>
      <w:r>
        <w:rPr>
          <w:rFonts w:hint="eastAsia" w:ascii="宋体" w:hAnsi="宋体" w:eastAsia="宋体" w:cs="宋体"/>
        </w:rPr>
        <w:t>联系地址和电话:</w:t>
      </w:r>
    </w:p>
    <w:p w14:paraId="643418C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我单位(本人)自愿参加本次政府采购活动，严格遵守《中华人民共和国政府采购法》及相关法律法规，坚守公开、公平公正和诚实信用等原则，依法诚信经营，并郑重承诺:</w:t>
      </w:r>
    </w:p>
    <w:p w14:paraId="03684BE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一、我单位(本人)具备采购文件要求以及《中华人民共和国政府采购法》第二十二条规定的条件:</w:t>
      </w:r>
    </w:p>
    <w:p w14:paraId="3278287D">
      <w:pPr>
        <w:pStyle w:val="4"/>
        <w:widowControl/>
        <w:spacing w:beforeAutospacing="0" w:afterAutospacing="0" w:line="480" w:lineRule="atLeast"/>
        <w:ind w:firstLine="840"/>
        <w:rPr>
          <w:rFonts w:ascii="宋体" w:hAnsi="宋体" w:eastAsia="宋体" w:cs="宋体"/>
        </w:rPr>
      </w:pPr>
      <w:r>
        <w:rPr>
          <w:rFonts w:hint="eastAsia" w:ascii="宋体" w:hAnsi="宋体" w:eastAsia="宋体" w:cs="宋体"/>
        </w:rPr>
        <w:t>1.具有独立承担民事责任的能力;</w:t>
      </w:r>
    </w:p>
    <w:p w14:paraId="1FE5246B">
      <w:pPr>
        <w:pStyle w:val="4"/>
        <w:widowControl/>
        <w:spacing w:beforeAutospacing="0" w:afterAutospacing="0" w:line="480" w:lineRule="atLeast"/>
        <w:ind w:firstLine="840"/>
        <w:rPr>
          <w:rFonts w:ascii="宋体" w:hAnsi="宋体" w:eastAsia="宋体" w:cs="宋体"/>
        </w:rPr>
      </w:pPr>
      <w:r>
        <w:rPr>
          <w:rFonts w:hint="eastAsia" w:ascii="宋体" w:hAnsi="宋体" w:eastAsia="宋体" w:cs="宋体"/>
        </w:rPr>
        <w:t>2.具有良好的商业信誉和健全的财务会计制度;</w:t>
      </w:r>
    </w:p>
    <w:p w14:paraId="19311DAD">
      <w:pPr>
        <w:pStyle w:val="4"/>
        <w:widowControl/>
        <w:spacing w:beforeAutospacing="0" w:afterAutospacing="0" w:line="480" w:lineRule="atLeast"/>
        <w:ind w:firstLine="840"/>
        <w:rPr>
          <w:rFonts w:ascii="宋体" w:hAnsi="宋体" w:eastAsia="宋体" w:cs="宋体"/>
        </w:rPr>
      </w:pPr>
      <w:r>
        <w:rPr>
          <w:rFonts w:hint="eastAsia" w:ascii="宋体" w:hAnsi="宋体" w:eastAsia="宋体" w:cs="宋体"/>
        </w:rPr>
        <w:t>3.具有履行合同所必需的设备和专业技术能力;</w:t>
      </w:r>
    </w:p>
    <w:p w14:paraId="4F1FFD40">
      <w:pPr>
        <w:pStyle w:val="4"/>
        <w:widowControl/>
        <w:spacing w:beforeAutospacing="0" w:afterAutospacing="0" w:line="480" w:lineRule="atLeast"/>
        <w:ind w:firstLine="840"/>
        <w:rPr>
          <w:rFonts w:ascii="宋体" w:hAnsi="宋体" w:eastAsia="宋体" w:cs="宋体"/>
        </w:rPr>
      </w:pPr>
      <w:r>
        <w:rPr>
          <w:rFonts w:hint="eastAsia" w:ascii="宋体" w:hAnsi="宋体" w:eastAsia="宋体" w:cs="宋体"/>
        </w:rPr>
        <w:t>4.有依法缴纳税收和社会保障资金的良好记录;</w:t>
      </w:r>
    </w:p>
    <w:p w14:paraId="758E978B">
      <w:pPr>
        <w:pStyle w:val="4"/>
        <w:widowControl/>
        <w:spacing w:beforeAutospacing="0" w:afterAutospacing="0" w:line="480" w:lineRule="atLeast"/>
        <w:ind w:firstLine="840"/>
        <w:rPr>
          <w:rFonts w:ascii="宋体" w:hAnsi="宋体" w:eastAsia="宋体" w:cs="宋体"/>
        </w:rPr>
      </w:pPr>
      <w:r>
        <w:rPr>
          <w:rFonts w:hint="eastAsia" w:ascii="宋体" w:hAnsi="宋体" w:eastAsia="宋体" w:cs="宋体"/>
        </w:rPr>
        <w:t>5.参加政府采购活动前三年内，在经营活动中没有重大违法记录；</w:t>
      </w:r>
    </w:p>
    <w:p w14:paraId="60831781">
      <w:pPr>
        <w:pStyle w:val="4"/>
        <w:widowControl/>
        <w:spacing w:beforeAutospacing="0" w:afterAutospacing="0" w:line="480" w:lineRule="atLeast"/>
        <w:ind w:firstLine="840"/>
        <w:rPr>
          <w:rFonts w:ascii="宋体" w:hAnsi="宋体" w:eastAsia="宋体" w:cs="宋体"/>
        </w:rPr>
      </w:pPr>
      <w:r>
        <w:rPr>
          <w:rFonts w:hint="eastAsia" w:ascii="宋体" w:hAnsi="宋体" w:eastAsia="宋体" w:cs="宋体"/>
        </w:rPr>
        <w:t>6.法律、行政法规规定的其他条件。</w:t>
      </w:r>
    </w:p>
    <w:p w14:paraId="544BA06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19A1BA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360BD54">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名称(单位公章):</w:t>
      </w:r>
    </w:p>
    <w:p w14:paraId="038CBEA5">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BB22F7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w:t>
      </w:r>
    </w:p>
    <w:p w14:paraId="133F0D1F">
      <w:pPr>
        <w:pStyle w:val="4"/>
        <w:widowControl/>
        <w:spacing w:beforeAutospacing="0" w:afterAutospacing="0" w:line="480" w:lineRule="atLeast"/>
        <w:ind w:firstLine="840"/>
        <w:rPr>
          <w:rFonts w:ascii="宋体" w:hAnsi="宋体" w:eastAsia="宋体" w:cs="宋体"/>
        </w:rPr>
      </w:pPr>
      <w:r>
        <w:rPr>
          <w:rFonts w:hint="eastAsia" w:ascii="宋体" w:hAnsi="宋体" w:eastAsia="宋体" w:cs="宋体"/>
        </w:rPr>
        <w:t>1.我单位(本人)专指参加政府采购活动的供应商(含自然人)；</w:t>
      </w:r>
    </w:p>
    <w:p w14:paraId="217B0593">
      <w:pPr>
        <w:pStyle w:val="4"/>
        <w:widowControl/>
        <w:spacing w:beforeAutospacing="0" w:afterAutospacing="0" w:line="480" w:lineRule="atLeast"/>
        <w:ind w:firstLine="840"/>
        <w:rPr>
          <w:rFonts w:ascii="宋体" w:hAnsi="宋体" w:eastAsia="宋体" w:cs="宋体"/>
        </w:rPr>
      </w:pPr>
      <w:r>
        <w:rPr>
          <w:rFonts w:hint="eastAsia" w:ascii="宋体" w:hAnsi="宋体" w:eastAsia="宋体" w:cs="宋体"/>
        </w:rPr>
        <w:t>2.资格承诺的供应商应在投标(响应)文件中按此模板提供承诺函，否则，视为未按照招标文件规定提交投标人的资格及资信文件，按资格审查不通过处理。</w:t>
      </w:r>
    </w:p>
    <w:p w14:paraId="4C0F40D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26AD48FF">
      <w:pPr>
        <w:pStyle w:val="9"/>
        <w:widowControl/>
        <w:spacing w:beforeAutospacing="0" w:afterAutospacing="0" w:line="480" w:lineRule="atLeast"/>
        <w:jc w:val="center"/>
        <w:rPr>
          <w:rFonts w:hint="default" w:cs="宋体"/>
        </w:rPr>
      </w:pPr>
      <w:r>
        <w:rPr>
          <w:rFonts w:cs="宋体"/>
        </w:rPr>
        <w:t>二-2-2 资格证明材料</w:t>
      </w:r>
    </w:p>
    <w:p w14:paraId="5D03E55C">
      <w:pPr>
        <w:pStyle w:val="9"/>
        <w:widowControl/>
        <w:spacing w:beforeAutospacing="0" w:afterAutospacing="0" w:line="480" w:lineRule="atLeast"/>
        <w:jc w:val="center"/>
        <w:rPr>
          <w:rFonts w:hint="default" w:cs="宋体"/>
        </w:rPr>
      </w:pPr>
      <w:r>
        <w:rPr>
          <w:rFonts w:cs="宋体"/>
        </w:rPr>
        <w:t>营业执照等证明文件</w:t>
      </w:r>
    </w:p>
    <w:p w14:paraId="5657F27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F8E327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）投标人为法人（包括企业、事业单位和社会团体）的</w:t>
      </w:r>
    </w:p>
    <w:p w14:paraId="7041F4A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签发的我方统一社会信用代码（请填写法人的具体证照名称）复印件，该证明材料真实有效，否则我方负全部责任。</w:t>
      </w:r>
    </w:p>
    <w:p w14:paraId="0B5F8CF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）投标人为非法人（包括其他组织、自然人）的</w:t>
      </w:r>
    </w:p>
    <w:p w14:paraId="39C63A8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签发的我方（请填写非自然人的非法人的具体证照名称）复印件，该证明材料真实有效，否则我方负全部责任。</w:t>
      </w:r>
    </w:p>
    <w:p w14:paraId="5B22390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签发的我方（请填写自然人的身份证件名称）复印件，该证明材料真实有效，否则我方负全部责任。</w:t>
      </w:r>
    </w:p>
    <w:p w14:paraId="21479FD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39334F4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1、请投标人按照实际情况编制填写，在相应的（）中打“√”并选择相应的“□”（若有）后，再按照本格式的要求提供相应证明材料的复印件。</w:t>
      </w:r>
    </w:p>
    <w:p w14:paraId="2DE067F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D60B667">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7E7CCE76">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014B9E5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728037A8">
      <w:pPr>
        <w:pStyle w:val="9"/>
        <w:widowControl/>
        <w:spacing w:beforeAutospacing="0" w:afterAutospacing="0" w:line="480" w:lineRule="atLeast"/>
        <w:jc w:val="center"/>
        <w:rPr>
          <w:rFonts w:hint="default" w:cs="宋体"/>
        </w:rPr>
      </w:pPr>
      <w:r>
        <w:rPr>
          <w:rFonts w:cs="宋体"/>
        </w:rPr>
        <w:t>财务状况报告（财务报告、或资信证明）</w:t>
      </w:r>
    </w:p>
    <w:p w14:paraId="42A8AA0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E42DCD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）投标人提供财务报告的</w:t>
      </w:r>
    </w:p>
    <w:p w14:paraId="5F6D71C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（填写“具体的年度、或半年度、季度”）</w:t>
      </w:r>
      <w:r>
        <w:rPr>
          <w:rFonts w:hint="eastAsia" w:ascii="宋体" w:hAnsi="宋体" w:eastAsia="宋体" w:cs="宋体"/>
        </w:rPr>
        <w:t>财务报告复印件，包括资产负债表、利润表、现金流量表、所有者权益变动表（若有）及其附注（若有）、会计师事务所营业执照和注册会计师资格证书，上述证明材料真实有效，否则我方负全部责任。</w:t>
      </w:r>
    </w:p>
    <w:p w14:paraId="58E1297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14:paraId="26BFA5D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□社会团体、民办非企适用：现附上我方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14:paraId="72BB8F9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）投标人提供资信证明的</w:t>
      </w:r>
    </w:p>
    <w:p w14:paraId="5052CA5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14:paraId="1947BB4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14:paraId="390A07D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74C4625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1、请投标人按照实际情况编制填写，在相应的（）中打“√”并选择相应的“□”（若有）后，再按照本格式的要求提供相应证明材料的复印件。</w:t>
      </w:r>
    </w:p>
    <w:p w14:paraId="469EA3D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2、投标人提供的财务报告复印件（成立年限按照投标截止时间推算）应符合下列规定：</w:t>
      </w:r>
    </w:p>
    <w:p w14:paraId="51D8108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2.1成立年限满1年及以上的投标人，提供经审计的招标文件规定的年度财务报告。</w:t>
      </w:r>
    </w:p>
    <w:p w14:paraId="6077432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2.2成立年限满半年但不足1年的投标人，提供该半年度中任一季度的季度财务报告或该半年度的半年度财务报告。</w:t>
      </w:r>
    </w:p>
    <w:p w14:paraId="214EEAC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CB2AC4C">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49467750">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C69992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558FA2DE">
      <w:pPr>
        <w:pStyle w:val="9"/>
        <w:widowControl/>
        <w:spacing w:beforeAutospacing="0" w:afterAutospacing="0" w:line="480" w:lineRule="atLeast"/>
        <w:jc w:val="center"/>
        <w:rPr>
          <w:rFonts w:hint="default" w:cs="宋体"/>
        </w:rPr>
      </w:pPr>
      <w:r>
        <w:rPr>
          <w:rFonts w:cs="宋体"/>
        </w:rPr>
        <w:t>依法缴纳税收证明材料</w:t>
      </w:r>
    </w:p>
    <w:p w14:paraId="2C40AB6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983F70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1、依法缴纳税收的投标人</w:t>
      </w:r>
    </w:p>
    <w:p w14:paraId="250C095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）法人（包括企业、事业单位和社会团体）的</w:t>
      </w:r>
    </w:p>
    <w:p w14:paraId="5A6C5A2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1F1EFE7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）非法人（包括其他组织、自然人）的</w:t>
      </w:r>
    </w:p>
    <w:p w14:paraId="76067B2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00EAC21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2、依法免税的投标人</w:t>
      </w:r>
    </w:p>
    <w:p w14:paraId="4199C40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）现附上我方依法免税的证明材料复印件，上述证明材料真实有效，否则我方负全部责任。</w:t>
      </w:r>
    </w:p>
    <w:p w14:paraId="12C60D4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3A119D9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1、请投标人按照实际情况编制填写，在相应的（）中打“√”，并按照本格式的要求提供相应证明材料的复印件。</w:t>
      </w:r>
    </w:p>
    <w:p w14:paraId="6C578F9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2、投标人提供的税收缴纳凭据复印件应符合下列规定：</w:t>
      </w:r>
    </w:p>
    <w:p w14:paraId="1D798FE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2.1投标截止时间前（不含投标截止时间的当月）已依法缴纳税收的投标人，提供投标截止时间前六个月（不含投标截止时间的当月）中任一月份的税收缴纳凭据复印件。</w:t>
      </w:r>
    </w:p>
    <w:p w14:paraId="5E5FF22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2.2投标截止时间的当月成立的投标人，视同满足本项资格条件要求。</w:t>
      </w:r>
    </w:p>
    <w:p w14:paraId="0911848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3、若为依法免税范围的投标人，提供依法免税证明材料的，视同满足本项资格条件要求。</w:t>
      </w:r>
    </w:p>
    <w:p w14:paraId="2F8FD147">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50DF035A">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78E5D3F5">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7FADEB6F">
      <w:pPr>
        <w:pStyle w:val="9"/>
        <w:widowControl/>
        <w:spacing w:beforeAutospacing="0" w:afterAutospacing="0" w:line="480" w:lineRule="atLeast"/>
        <w:jc w:val="center"/>
        <w:rPr>
          <w:rFonts w:hint="default" w:cs="宋体"/>
        </w:rPr>
      </w:pPr>
      <w:r>
        <w:rPr>
          <w:rFonts w:cs="宋体"/>
        </w:rPr>
        <w:t>依法缴纳社会保障资金证明材料</w:t>
      </w:r>
    </w:p>
    <w:p w14:paraId="1BBCB4B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88ECD9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1、依法缴纳社会保障资金的投标人</w:t>
      </w:r>
    </w:p>
    <w:p w14:paraId="6DD4173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）法人（包括企业、事业单位和社会团体）的</w:t>
      </w:r>
    </w:p>
    <w:p w14:paraId="1DEE525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17F8FF8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）非法人（包括其他组织、自然人）的</w:t>
      </w:r>
    </w:p>
    <w:p w14:paraId="21EB288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3CA240E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2、依法不需要缴纳或暂缓缴纳社会保障资金的投标人</w:t>
      </w:r>
    </w:p>
    <w:p w14:paraId="42206B4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）现附上我方依法不需要缴纳或暂缓缴纳社会保障资金证明材料复印件，上述证明材料真实有效，否则我方负全部责任。</w:t>
      </w:r>
    </w:p>
    <w:p w14:paraId="4E6BDB4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25981FD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1、请投标人按照实际情况编制填写，在相应的（）中打“√”，并按照本格式的要求提供相应证明材料的复印件。</w:t>
      </w:r>
    </w:p>
    <w:p w14:paraId="71267A05">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2、投标人提供的社会保障资金缴纳凭据复印件应符合下列规定：</w:t>
      </w:r>
    </w:p>
    <w:p w14:paraId="200D7C8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2.1投标截止时间前（不含投标截止时间的当月）已依法缴纳社会保障资金的投标人，提供投标截止时间前六个月（不含投标截止时间的当月）中任一月份的社会保障资金缴纳凭据复印件。</w:t>
      </w:r>
    </w:p>
    <w:p w14:paraId="3B0F768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2.2投标截止时间的当月成立的投标人，视同满足本项资格条件要求。</w:t>
      </w:r>
    </w:p>
    <w:p w14:paraId="74531D0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3、若为依法不需要缴纳或暂缓缴纳社会保障资金的投标人，提供依法不需要缴纳或暂缓缴纳社会保障资金证明材料的，视同满足本项资格条件要求。</w:t>
      </w:r>
    </w:p>
    <w:p w14:paraId="20CBB047">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1EC7626E">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1090E55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4AD84AF3">
      <w:pPr>
        <w:pStyle w:val="9"/>
        <w:widowControl/>
        <w:spacing w:beforeAutospacing="0" w:afterAutospacing="0" w:line="480" w:lineRule="atLeast"/>
        <w:jc w:val="center"/>
        <w:rPr>
          <w:rFonts w:hint="default" w:cs="宋体"/>
        </w:rPr>
      </w:pPr>
      <w:r>
        <w:rPr>
          <w:rFonts w:cs="宋体"/>
        </w:rPr>
        <w:t>具备履行合同所必需设备和专业技术能力的声明函（若有）</w:t>
      </w:r>
    </w:p>
    <w:p w14:paraId="5F87149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817F29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我方具备履行合同所必需的设备和专业技术能力，否则产生不利后果由我方承担责任。</w:t>
      </w:r>
    </w:p>
    <w:p w14:paraId="32DBC9C4">
      <w:pPr>
        <w:pStyle w:val="4"/>
        <w:widowControl/>
        <w:spacing w:beforeAutospacing="0" w:afterAutospacing="0" w:line="480" w:lineRule="atLeast"/>
        <w:ind w:firstLine="840"/>
        <w:rPr>
          <w:rFonts w:ascii="宋体" w:hAnsi="宋体" w:eastAsia="宋体" w:cs="宋体"/>
        </w:rPr>
      </w:pPr>
      <w:r>
        <w:rPr>
          <w:rFonts w:hint="eastAsia" w:ascii="宋体" w:hAnsi="宋体" w:eastAsia="宋体" w:cs="宋体"/>
        </w:rPr>
        <w:t>特此声明。</w:t>
      </w:r>
    </w:p>
    <w:p w14:paraId="53EB53F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0B69C95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1、招标文件未要求投标人提供“具备履行合同所必需的设备和专业技术能力专项证明材料”的，投标人应提供本声明函。</w:t>
      </w:r>
    </w:p>
    <w:p w14:paraId="1CE939A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2、招标文件要求投标人提供“具备履行合同所必需的设备和专业技术能力专项证明材料”的，投标人可不提供本声明函。</w:t>
      </w:r>
    </w:p>
    <w:p w14:paraId="1207B415">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3、请投标人根据实际情况如实声明，否则视为提供虚假材料。</w:t>
      </w:r>
    </w:p>
    <w:p w14:paraId="7310011D">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32834350">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1276719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1C915F25">
      <w:pPr>
        <w:pStyle w:val="9"/>
        <w:widowControl/>
        <w:spacing w:beforeAutospacing="0" w:afterAutospacing="0" w:line="480" w:lineRule="atLeast"/>
        <w:jc w:val="center"/>
        <w:rPr>
          <w:rFonts w:hint="default" w:cs="宋体"/>
        </w:rPr>
      </w:pPr>
      <w:r>
        <w:rPr>
          <w:rFonts w:cs="宋体"/>
        </w:rPr>
        <w:t>参加采购活动前三年内在经营活动中没有重大违法记录书面声明</w:t>
      </w:r>
    </w:p>
    <w:p w14:paraId="77C66EE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61B087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14:paraId="2D12B43D">
      <w:pPr>
        <w:pStyle w:val="4"/>
        <w:widowControl/>
        <w:spacing w:beforeAutospacing="0" w:afterAutospacing="0" w:line="480" w:lineRule="atLeast"/>
        <w:ind w:firstLine="840"/>
        <w:rPr>
          <w:rFonts w:ascii="宋体" w:hAnsi="宋体" w:eastAsia="宋体" w:cs="宋体"/>
        </w:rPr>
      </w:pPr>
      <w:r>
        <w:rPr>
          <w:rFonts w:hint="eastAsia" w:ascii="宋体" w:hAnsi="宋体" w:eastAsia="宋体" w:cs="宋体"/>
        </w:rPr>
        <w:t>特此声明。</w:t>
      </w:r>
    </w:p>
    <w:p w14:paraId="2DD780A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43E081E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1FADD5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请投标人根据实际情况如实声明，否则视为提供虚假材料。</w:t>
      </w:r>
    </w:p>
    <w:p w14:paraId="0BBD9DAA">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44C771AC">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534B888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0448D72D">
      <w:pPr>
        <w:pStyle w:val="9"/>
        <w:widowControl/>
        <w:spacing w:beforeAutospacing="0" w:afterAutospacing="0" w:line="480" w:lineRule="atLeast"/>
        <w:jc w:val="center"/>
        <w:rPr>
          <w:rFonts w:hint="default" w:cs="宋体"/>
        </w:rPr>
      </w:pPr>
      <w:r>
        <w:rPr>
          <w:rFonts w:cs="宋体"/>
        </w:rPr>
        <w:t>二-3信用记录查询提示</w:t>
      </w:r>
    </w:p>
    <w:p w14:paraId="63CEE59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1、由资格审查小组通过网站查询并打印投标人的信用记录。</w:t>
      </w:r>
    </w:p>
    <w:p w14:paraId="2AD25B6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B57A43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64FB99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7787F1BB">
      <w:pPr>
        <w:pStyle w:val="9"/>
        <w:widowControl/>
        <w:spacing w:beforeAutospacing="0" w:afterAutospacing="0" w:line="480" w:lineRule="atLeast"/>
        <w:jc w:val="center"/>
        <w:rPr>
          <w:rFonts w:hint="default" w:cs="宋体"/>
        </w:rPr>
      </w:pPr>
      <w:r>
        <w:rPr>
          <w:rFonts w:cs="宋体"/>
        </w:rPr>
        <w:t>二-4中小企业声明函</w:t>
      </w:r>
    </w:p>
    <w:p w14:paraId="7979B2B2">
      <w:pPr>
        <w:pStyle w:val="9"/>
        <w:widowControl/>
        <w:spacing w:beforeAutospacing="0" w:afterAutospacing="0" w:line="480" w:lineRule="atLeast"/>
        <w:jc w:val="center"/>
        <w:rPr>
          <w:rFonts w:hint="default" w:cs="宋体"/>
        </w:rPr>
      </w:pPr>
      <w:r>
        <w:rPr>
          <w:rFonts w:cs="宋体"/>
        </w:rPr>
        <w:t>（以资格条件落实中小企业扶持政策时适用，若有）</w:t>
      </w:r>
    </w:p>
    <w:p w14:paraId="211F085F">
      <w:pPr>
        <w:pStyle w:val="9"/>
        <w:widowControl/>
        <w:spacing w:beforeAutospacing="0" w:afterAutospacing="0" w:line="480" w:lineRule="atLeast"/>
        <w:jc w:val="center"/>
        <w:rPr>
          <w:rFonts w:hint="default" w:cs="宋体"/>
        </w:rPr>
      </w:pPr>
      <w:r>
        <w:rPr>
          <w:rFonts w:cs="宋体"/>
        </w:rPr>
        <w:t>中小企业声明函（货物）</w:t>
      </w:r>
    </w:p>
    <w:p w14:paraId="5BE070F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339CD4E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w:t>
      </w:r>
      <w:r>
        <w:rPr>
          <w:rFonts w:hint="eastAsia" w:ascii="宋体" w:hAnsi="宋体" w:eastAsia="宋体" w:cs="宋体"/>
          <w:u w:val="single"/>
        </w:rPr>
        <w:t>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万元¹，属于</w:t>
      </w:r>
      <w:r>
        <w:rPr>
          <w:rFonts w:hint="eastAsia" w:ascii="宋体" w:hAnsi="宋体" w:eastAsia="宋体" w:cs="宋体"/>
          <w:u w:val="single"/>
        </w:rPr>
        <w:t>（中型企业、小型企业、微型企业）</w:t>
      </w:r>
      <w:r>
        <w:rPr>
          <w:rFonts w:hint="eastAsia" w:ascii="宋体" w:hAnsi="宋体" w:eastAsia="宋体" w:cs="宋体"/>
        </w:rPr>
        <w:t>；</w:t>
      </w:r>
    </w:p>
    <w:p w14:paraId="09C673A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w:t>
      </w:r>
      <w:r>
        <w:rPr>
          <w:rFonts w:hint="eastAsia" w:ascii="宋体" w:hAnsi="宋体" w:eastAsia="宋体" w:cs="宋体"/>
          <w:u w:val="single"/>
        </w:rPr>
        <w:t>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08EBE49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w:t>
      </w:r>
    </w:p>
    <w:p w14:paraId="5F2852D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268B295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本企业对上述声明内容的真实性负责。如有虚假，将依法承担相应责任。</w:t>
      </w:r>
    </w:p>
    <w:p w14:paraId="08531622">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493590DB">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DA9CA5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0E7303A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08E19E6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AF658E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79DFA7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6AF1C9A4">
      <w:pPr>
        <w:pStyle w:val="9"/>
        <w:widowControl/>
        <w:spacing w:beforeAutospacing="0" w:afterAutospacing="0" w:line="480" w:lineRule="atLeast"/>
        <w:jc w:val="center"/>
        <w:rPr>
          <w:rFonts w:hint="default" w:cs="宋体"/>
        </w:rPr>
      </w:pPr>
      <w:r>
        <w:rPr>
          <w:rFonts w:cs="宋体"/>
        </w:rPr>
        <w:t>中小企业声明函（工程、服务）</w:t>
      </w:r>
    </w:p>
    <w:p w14:paraId="4B1CC37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6E59E9A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万元¹，属于</w:t>
      </w:r>
      <w:r>
        <w:rPr>
          <w:rFonts w:hint="eastAsia" w:ascii="宋体" w:hAnsi="宋体" w:eastAsia="宋体" w:cs="宋体"/>
          <w:u w:val="single"/>
        </w:rPr>
        <w:t>（中型企业、小型企业、微型企业）</w:t>
      </w:r>
      <w:r>
        <w:rPr>
          <w:rFonts w:hint="eastAsia" w:ascii="宋体" w:hAnsi="宋体" w:eastAsia="宋体" w:cs="宋体"/>
        </w:rPr>
        <w:t>；</w:t>
      </w:r>
    </w:p>
    <w:p w14:paraId="0545EF5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45066C3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w:t>
      </w:r>
    </w:p>
    <w:p w14:paraId="17682145">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17AA2BF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本企业对上述声明内容的真实性负责。如有虚假，将依法承担相应责任。</w:t>
      </w:r>
    </w:p>
    <w:p w14:paraId="0F5DAE13">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54F32045">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0093385">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7F04C49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6027B89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3DD58E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3EC7C4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6043922E">
      <w:pPr>
        <w:pStyle w:val="9"/>
        <w:widowControl/>
        <w:spacing w:beforeAutospacing="0" w:afterAutospacing="0" w:line="480" w:lineRule="atLeast"/>
        <w:jc w:val="center"/>
        <w:rPr>
          <w:rFonts w:hint="default" w:cs="宋体"/>
        </w:rPr>
      </w:pPr>
      <w:r>
        <w:rPr>
          <w:rFonts w:cs="宋体"/>
        </w:rPr>
        <w:t>残疾人福利性单位声明函</w:t>
      </w:r>
    </w:p>
    <w:p w14:paraId="630AAABA">
      <w:pPr>
        <w:pStyle w:val="9"/>
        <w:widowControl/>
        <w:spacing w:beforeAutospacing="0" w:afterAutospacing="0" w:line="480" w:lineRule="atLeast"/>
        <w:jc w:val="center"/>
        <w:rPr>
          <w:rFonts w:hint="default" w:cs="宋体"/>
        </w:rPr>
      </w:pPr>
      <w:r>
        <w:rPr>
          <w:rFonts w:cs="宋体"/>
        </w:rPr>
        <w:t>（以资格条件落实中小企业扶持政策时适用，若有）</w:t>
      </w:r>
    </w:p>
    <w:p w14:paraId="56DE30E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8B986A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0FEA37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）由本投标人承建的（填写“所投采购包、品目号”）工程</w:t>
      </w:r>
    </w:p>
    <w:p w14:paraId="0A24935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）由本投标人承接的（填写“所投采购包、品目号”）服务；</w:t>
      </w:r>
    </w:p>
    <w:p w14:paraId="3F9F941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本投标人对上述声明的真实性负责。如有虚假，将依法承担相应责任。</w:t>
      </w:r>
    </w:p>
    <w:p w14:paraId="6FA16B4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备注：</w:t>
      </w:r>
    </w:p>
    <w:p w14:paraId="79B182F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1、请投标人按照实际情况编制填写本声明函，并在相应的（）中打“√”。</w:t>
      </w:r>
    </w:p>
    <w:p w14:paraId="5D92C36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2、若《残疾人福利性单位声明函》内容不真实，视为提供虚假材料。</w:t>
      </w:r>
    </w:p>
    <w:p w14:paraId="4E93BC96">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2775FCAC">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09C336E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附：</w:t>
      </w:r>
    </w:p>
    <w:p w14:paraId="285F965F">
      <w:pPr>
        <w:pStyle w:val="9"/>
        <w:widowControl/>
        <w:spacing w:beforeAutospacing="0" w:afterAutospacing="0" w:line="480" w:lineRule="atLeast"/>
        <w:jc w:val="center"/>
        <w:rPr>
          <w:rFonts w:hint="default" w:cs="宋体"/>
        </w:rPr>
      </w:pPr>
      <w:r>
        <w:rPr>
          <w:rFonts w:cs="宋体"/>
        </w:rPr>
        <w:t>监狱企业证明材料</w:t>
      </w:r>
    </w:p>
    <w:p w14:paraId="731FCEE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14:paraId="2DB3A95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00077493">
      <w:pPr>
        <w:pStyle w:val="9"/>
        <w:widowControl/>
        <w:spacing w:beforeAutospacing="0" w:afterAutospacing="0" w:line="480" w:lineRule="atLeast"/>
        <w:jc w:val="center"/>
        <w:rPr>
          <w:rFonts w:hint="default" w:cs="宋体"/>
        </w:rPr>
      </w:pPr>
      <w:r>
        <w:rPr>
          <w:rFonts w:cs="宋体"/>
        </w:rPr>
        <w:t>二-5联合体协议（若有）</w:t>
      </w:r>
    </w:p>
    <w:p w14:paraId="24666C0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4666B0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w:t>
      </w:r>
      <w:r>
        <w:rPr>
          <w:rFonts w:hint="eastAsia" w:ascii="宋体" w:hAnsi="宋体" w:eastAsia="宋体" w:cs="宋体"/>
          <w:u w:val="single"/>
        </w:rPr>
        <w:t>（填写“项目名称”）</w:t>
      </w:r>
      <w:r>
        <w:rPr>
          <w:rFonts w:hint="eastAsia" w:ascii="宋体" w:hAnsi="宋体" w:eastAsia="宋体" w:cs="宋体"/>
        </w:rPr>
        <w:t> 项目（项目编号：</w:t>
      </w:r>
      <w:r>
        <w:rPr>
          <w:rFonts w:hint="eastAsia" w:ascii="宋体" w:hAnsi="宋体" w:eastAsia="宋体" w:cs="宋体"/>
          <w:u w:val="single"/>
        </w:rPr>
        <w:t>　　　　　　</w:t>
      </w:r>
      <w:r>
        <w:rPr>
          <w:rFonts w:hint="eastAsia" w:ascii="宋体" w:hAnsi="宋体" w:eastAsia="宋体" w:cs="宋体"/>
        </w:rPr>
        <w:t>）的投标。现就联合体参加本项目投标的有关事宜达成下列协议：</w:t>
      </w:r>
    </w:p>
    <w:p w14:paraId="56529A0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一、联合体各方应承担的工作和义务具体如下：</w:t>
      </w:r>
    </w:p>
    <w:p w14:paraId="3BA435B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1、牵头方（全称）：</w:t>
      </w:r>
      <w:r>
        <w:rPr>
          <w:rFonts w:hint="eastAsia" w:ascii="宋体" w:hAnsi="宋体" w:eastAsia="宋体" w:cs="宋体"/>
          <w:u w:val="single"/>
        </w:rPr>
        <w:t>（填写“工作及义务的具体内容”） </w:t>
      </w:r>
      <w:r>
        <w:rPr>
          <w:rFonts w:hint="eastAsia" w:ascii="宋体" w:hAnsi="宋体" w:eastAsia="宋体" w:cs="宋体"/>
        </w:rPr>
        <w:t>；</w:t>
      </w:r>
    </w:p>
    <w:p w14:paraId="6CE3978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2、成员方：</w:t>
      </w:r>
    </w:p>
    <w:p w14:paraId="19459CC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 ；</w:t>
      </w:r>
    </w:p>
    <w:p w14:paraId="185A079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w:t>
      </w:r>
    </w:p>
    <w:p w14:paraId="2328CD1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二、联合体各方的合同金额占比，具体如下：</w:t>
      </w:r>
    </w:p>
    <w:p w14:paraId="39867E6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1.牵头方（</w:t>
      </w:r>
      <w:r>
        <w:rPr>
          <w:rFonts w:hint="eastAsia" w:ascii="宋体" w:hAnsi="宋体" w:eastAsia="宋体" w:cs="宋体"/>
          <w:u w:val="single"/>
        </w:rPr>
        <w:t> 全称</w:t>
      </w:r>
      <w:r>
        <w:rPr>
          <w:rFonts w:hint="eastAsia" w:ascii="宋体" w:hAnsi="宋体" w:eastAsia="宋体" w:cs="宋体"/>
        </w:rPr>
        <w:t> ）的合同金额占合同总额的</w:t>
      </w:r>
      <w:r>
        <w:rPr>
          <w:rFonts w:hint="eastAsia" w:ascii="宋体" w:hAnsi="宋体" w:eastAsia="宋体" w:cs="宋体"/>
          <w:u w:val="single"/>
        </w:rPr>
        <w:t>　　</w:t>
      </w:r>
      <w:r>
        <w:rPr>
          <w:rFonts w:hint="eastAsia" w:ascii="宋体" w:hAnsi="宋体" w:eastAsia="宋体" w:cs="宋体"/>
        </w:rPr>
        <w:t>%；</w:t>
      </w:r>
    </w:p>
    <w:p w14:paraId="74E2312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2.成员方：</w:t>
      </w:r>
    </w:p>
    <w:p w14:paraId="081883D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2.1（</w:t>
      </w:r>
      <w:r>
        <w:rPr>
          <w:rFonts w:hint="eastAsia" w:ascii="宋体" w:hAnsi="宋体" w:eastAsia="宋体" w:cs="宋体"/>
          <w:u w:val="single"/>
        </w:rPr>
        <w:t> 成员1的全称 </w:t>
      </w:r>
      <w:r>
        <w:rPr>
          <w:rFonts w:hint="eastAsia" w:ascii="宋体" w:hAnsi="宋体" w:eastAsia="宋体" w:cs="宋体"/>
        </w:rPr>
        <w:t>）的合同金额占合同总额的</w:t>
      </w:r>
      <w:r>
        <w:rPr>
          <w:rFonts w:hint="eastAsia" w:ascii="宋体" w:hAnsi="宋体" w:eastAsia="宋体" w:cs="宋体"/>
          <w:u w:val="single"/>
        </w:rPr>
        <w:t>　　</w:t>
      </w:r>
      <w:r>
        <w:rPr>
          <w:rFonts w:hint="eastAsia" w:ascii="宋体" w:hAnsi="宋体" w:eastAsia="宋体" w:cs="宋体"/>
        </w:rPr>
        <w:t>%；</w:t>
      </w:r>
    </w:p>
    <w:p w14:paraId="7F3AB91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w:t>
      </w:r>
    </w:p>
    <w:p w14:paraId="18653A9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三、联合体各方约定：</w:t>
      </w:r>
    </w:p>
    <w:p w14:paraId="71FF7DB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8B2398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2、联合体各方约定由</w:t>
      </w:r>
      <w:r>
        <w:rPr>
          <w:rFonts w:hint="eastAsia" w:ascii="宋体" w:hAnsi="宋体" w:eastAsia="宋体" w:cs="宋体"/>
          <w:u w:val="single"/>
        </w:rPr>
        <w:t>（填写“牵头方的全称”）代表联合体办理投标保证金事宜。</w:t>
      </w:r>
    </w:p>
    <w:p w14:paraId="36CADA3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23685C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四、若中标，牵头方将代表联合体与采购人就合同签订事宜进行协商；若协商一致，则联合体各方将共同与采购人签订政府采购合同，并就政府采购合同约定的事项对采购人承担连带责任。</w:t>
      </w:r>
    </w:p>
    <w:p w14:paraId="07EB07F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五、本协议自签署之日起生效，政府采购合同履行完毕后自动失效。</w:t>
      </w:r>
    </w:p>
    <w:p w14:paraId="159851F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份，联合体各方各执一份，电子投标文件中提交一份。</w:t>
      </w:r>
    </w:p>
    <w:p w14:paraId="0463248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（以下无正文）</w:t>
      </w:r>
    </w:p>
    <w:p w14:paraId="4D10AAF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14:paraId="0B939E0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（签字或盖章）</w:t>
      </w:r>
    </w:p>
    <w:p w14:paraId="4E2C943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14:paraId="72E60CF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（签字或盖章）</w:t>
      </w:r>
    </w:p>
    <w:p w14:paraId="4A110F1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w:t>
      </w:r>
    </w:p>
    <w:p w14:paraId="6B811A8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14:paraId="7B103E8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（签字或盖章）</w:t>
      </w:r>
    </w:p>
    <w:p w14:paraId="1E1467A1">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年　　月　　日</w:t>
      </w:r>
    </w:p>
    <w:p w14:paraId="4254E48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380CC87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1、招标文件接受联合体投标且投标人为联合体的，投标人应提供本协议；否则无须提供。</w:t>
      </w:r>
    </w:p>
    <w:p w14:paraId="5A2A9F0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2、本协议由委托代理人签字或盖章的，应按照本章载明的格式提供“单位授权书”。</w:t>
      </w:r>
    </w:p>
    <w:p w14:paraId="004CF69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3、在以联合体形式落实中小企业预留份额项目中，投标人除了要提供《中小企业声明函》，还需提供本协议。</w:t>
      </w:r>
    </w:p>
    <w:p w14:paraId="3142FBF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1D6485A1">
      <w:pPr>
        <w:pStyle w:val="9"/>
        <w:widowControl/>
        <w:spacing w:beforeAutospacing="0" w:afterAutospacing="0" w:line="480" w:lineRule="atLeast"/>
        <w:jc w:val="center"/>
        <w:rPr>
          <w:rFonts w:hint="default" w:cs="宋体"/>
        </w:rPr>
      </w:pPr>
      <w:r>
        <w:rPr>
          <w:rFonts w:cs="宋体"/>
        </w:rPr>
        <w:t>二-6分包意向协议（若有）</w:t>
      </w:r>
    </w:p>
    <w:p w14:paraId="51A8330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（即本项目的投标人）</w:t>
      </w:r>
    </w:p>
    <w:p w14:paraId="7B5132B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14:paraId="3FDC625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14:paraId="182C50C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一、分包标的</w:t>
      </w:r>
    </w:p>
    <w:p w14:paraId="72742D4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u w:val="single"/>
        </w:rPr>
        <w:t>（根据双方的意向填写，可以是表格或文字描述）。</w:t>
      </w:r>
    </w:p>
    <w:p w14:paraId="60DE2C2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二、分包合同金额占比</w:t>
      </w:r>
    </w:p>
    <w:p w14:paraId="7F7BE27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分包合同价占投标总价的比例：</w:t>
      </w:r>
      <w:r>
        <w:rPr>
          <w:rFonts w:hint="eastAsia" w:ascii="宋体" w:hAnsi="宋体" w:eastAsia="宋体" w:cs="宋体"/>
          <w:u w:val="single"/>
        </w:rPr>
        <w:t>　　　　　</w:t>
      </w:r>
      <w:r>
        <w:rPr>
          <w:rFonts w:hint="eastAsia" w:ascii="宋体" w:hAnsi="宋体" w:eastAsia="宋体" w:cs="宋体"/>
        </w:rPr>
        <w:t>%</w:t>
      </w:r>
    </w:p>
    <w:p w14:paraId="6918C38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三、其他条款</w:t>
      </w:r>
    </w:p>
    <w:p w14:paraId="6D6EF68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7"/>
        <w:tblW w:w="8546" w:type="dxa"/>
        <w:tblInd w:w="0" w:type="dxa"/>
        <w:tblLayout w:type="fixed"/>
        <w:tblCellMar>
          <w:top w:w="0" w:type="dxa"/>
          <w:left w:w="0" w:type="dxa"/>
          <w:bottom w:w="0" w:type="dxa"/>
          <w:right w:w="0" w:type="dxa"/>
        </w:tblCellMar>
      </w:tblPr>
      <w:tblGrid>
        <w:gridCol w:w="4273"/>
        <w:gridCol w:w="4273"/>
      </w:tblGrid>
      <w:tr w14:paraId="59F8F59F">
        <w:tblPrEx>
          <w:tblCellMar>
            <w:top w:w="0" w:type="dxa"/>
            <w:left w:w="0" w:type="dxa"/>
            <w:bottom w:w="0" w:type="dxa"/>
            <w:right w:w="0" w:type="dxa"/>
          </w:tblCellMar>
        </w:tblPrEx>
        <w:tc>
          <w:tcPr>
            <w:tcW w:w="42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69F48A">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甲方：</w:t>
            </w:r>
          </w:p>
        </w:tc>
        <w:tc>
          <w:tcPr>
            <w:tcW w:w="42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F7F55D">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乙方：</w:t>
            </w:r>
          </w:p>
        </w:tc>
      </w:tr>
      <w:tr w14:paraId="74028A27">
        <w:tblPrEx>
          <w:tblCellMar>
            <w:top w:w="0" w:type="dxa"/>
            <w:left w:w="0" w:type="dxa"/>
            <w:bottom w:w="0" w:type="dxa"/>
            <w:right w:w="0" w:type="dxa"/>
          </w:tblCellMar>
        </w:tblPrEx>
        <w:tc>
          <w:tcPr>
            <w:tcW w:w="42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2293D89">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住所：</w:t>
            </w:r>
          </w:p>
        </w:tc>
        <w:tc>
          <w:tcPr>
            <w:tcW w:w="42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3B27B0">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住所：</w:t>
            </w:r>
          </w:p>
        </w:tc>
      </w:tr>
      <w:tr w14:paraId="55CC5811">
        <w:tblPrEx>
          <w:tblCellMar>
            <w:top w:w="0" w:type="dxa"/>
            <w:left w:w="0" w:type="dxa"/>
            <w:bottom w:w="0" w:type="dxa"/>
            <w:right w:w="0" w:type="dxa"/>
          </w:tblCellMar>
        </w:tblPrEx>
        <w:tc>
          <w:tcPr>
            <w:tcW w:w="42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129AC0">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单位负责人或委托代理人：</w:t>
            </w:r>
          </w:p>
        </w:tc>
        <w:tc>
          <w:tcPr>
            <w:tcW w:w="42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9ED78A">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单位负责人或委托代理人：</w:t>
            </w:r>
          </w:p>
        </w:tc>
      </w:tr>
      <w:tr w14:paraId="3005060D">
        <w:tblPrEx>
          <w:tblCellMar>
            <w:top w:w="0" w:type="dxa"/>
            <w:left w:w="0" w:type="dxa"/>
            <w:bottom w:w="0" w:type="dxa"/>
            <w:right w:w="0" w:type="dxa"/>
          </w:tblCellMar>
        </w:tblPrEx>
        <w:tc>
          <w:tcPr>
            <w:tcW w:w="42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2E6414">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联系方法：</w:t>
            </w:r>
          </w:p>
        </w:tc>
        <w:tc>
          <w:tcPr>
            <w:tcW w:w="42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281E588">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联系方法：</w:t>
            </w:r>
          </w:p>
        </w:tc>
      </w:tr>
      <w:tr w14:paraId="72C4BA7D">
        <w:tblPrEx>
          <w:tblCellMar>
            <w:top w:w="0" w:type="dxa"/>
            <w:left w:w="0" w:type="dxa"/>
            <w:bottom w:w="0" w:type="dxa"/>
            <w:right w:w="0" w:type="dxa"/>
          </w:tblCellMar>
        </w:tblPrEx>
        <w:tc>
          <w:tcPr>
            <w:tcW w:w="42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D3142A">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开户银行：</w:t>
            </w:r>
          </w:p>
        </w:tc>
        <w:tc>
          <w:tcPr>
            <w:tcW w:w="42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6720BB">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开户银行：</w:t>
            </w:r>
          </w:p>
        </w:tc>
      </w:tr>
      <w:tr w14:paraId="51403AE9">
        <w:tblPrEx>
          <w:tblCellMar>
            <w:top w:w="0" w:type="dxa"/>
            <w:left w:w="0" w:type="dxa"/>
            <w:bottom w:w="0" w:type="dxa"/>
            <w:right w:w="0" w:type="dxa"/>
          </w:tblCellMar>
        </w:tblPrEx>
        <w:tc>
          <w:tcPr>
            <w:tcW w:w="42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38253A6">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账号：</w:t>
            </w:r>
          </w:p>
        </w:tc>
        <w:tc>
          <w:tcPr>
            <w:tcW w:w="42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6725D7">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账号：</w:t>
            </w:r>
          </w:p>
        </w:tc>
      </w:tr>
      <w:tr w14:paraId="035760D0">
        <w:tblPrEx>
          <w:tblCellMar>
            <w:top w:w="0" w:type="dxa"/>
            <w:left w:w="0" w:type="dxa"/>
            <w:bottom w:w="0" w:type="dxa"/>
            <w:right w:w="0" w:type="dxa"/>
          </w:tblCellMar>
        </w:tblPrEx>
        <w:tc>
          <w:tcPr>
            <w:tcW w:w="8546" w:type="dxa"/>
            <w:gridSpan w:val="2"/>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D3ACFE">
            <w:pPr>
              <w:pStyle w:val="4"/>
              <w:widowControl/>
              <w:wordWrap w:val="0"/>
              <w:spacing w:beforeAutospacing="0" w:afterAutospacing="0" w:line="480" w:lineRule="atLeast"/>
              <w:jc w:val="right"/>
              <w:rPr>
                <w:rFonts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14:paraId="2026DB56">
            <w:pPr>
              <w:pStyle w:val="4"/>
              <w:widowControl/>
              <w:wordWrap w:val="0"/>
              <w:spacing w:beforeAutospacing="0" w:afterAutospacing="0" w:line="480" w:lineRule="atLeast"/>
              <w:jc w:val="right"/>
              <w:rPr>
                <w:rFonts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14:paraId="6F414E1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172799C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1.招标文件接受合同分包且投标人拟将合同分包的，应提供本协议；否则无须提供。</w:t>
      </w:r>
    </w:p>
    <w:p w14:paraId="0A28E46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2.本协议由委托代理人签字或盖章的，应按照本章载明的格式提供“单位授权书”。</w:t>
      </w:r>
    </w:p>
    <w:p w14:paraId="399263B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3.在以合同分包形式落实中小企业预留份额项目中，投标人除了要提供《中小企业声明函》，还需提供本协议。</w:t>
      </w:r>
    </w:p>
    <w:p w14:paraId="35BE4D3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75D93955">
      <w:pPr>
        <w:pStyle w:val="9"/>
        <w:widowControl/>
        <w:spacing w:beforeAutospacing="0" w:afterAutospacing="0" w:line="480" w:lineRule="atLeast"/>
        <w:jc w:val="center"/>
        <w:rPr>
          <w:rFonts w:hint="default" w:cs="宋体"/>
        </w:rPr>
      </w:pPr>
      <w:r>
        <w:rPr>
          <w:rFonts w:cs="宋体"/>
        </w:rPr>
        <w:t>二-7其他资格证明文件（若有）</w:t>
      </w:r>
    </w:p>
    <w:p w14:paraId="3E6FD131">
      <w:pPr>
        <w:pStyle w:val="9"/>
        <w:widowControl/>
        <w:spacing w:beforeAutospacing="0" w:afterAutospacing="0" w:line="480" w:lineRule="atLeast"/>
        <w:jc w:val="center"/>
        <w:rPr>
          <w:rFonts w:hint="default" w:cs="宋体"/>
        </w:rPr>
      </w:pPr>
      <w:r>
        <w:rPr>
          <w:rFonts w:cs="宋体"/>
        </w:rPr>
        <w:t>二-7-①招标文件规定的其他资格证明文件（若有）</w:t>
      </w:r>
    </w:p>
    <w:p w14:paraId="056557B8">
      <w:pPr>
        <w:pStyle w:val="4"/>
        <w:widowControl/>
        <w:spacing w:beforeAutospacing="0" w:afterAutospacing="0" w:line="480" w:lineRule="atLeast"/>
        <w:ind w:firstLine="420"/>
        <w:jc w:val="center"/>
        <w:rPr>
          <w:rFonts w:ascii="宋体" w:hAnsi="宋体" w:eastAsia="宋体" w:cs="宋体"/>
        </w:rPr>
      </w:pPr>
      <w:r>
        <w:rPr>
          <w:rFonts w:hint="eastAsia" w:ascii="宋体" w:hAnsi="宋体" w:eastAsia="宋体" w:cs="宋体"/>
        </w:rPr>
        <w:t>编制说明</w:t>
      </w:r>
    </w:p>
    <w:p w14:paraId="75E3D7D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除招标文件另有规定外，招标文件要求提交的除前述资格证明文件外的其他资格证明文件（若有）加盖投标人的单位公章后应在此项下提交。</w:t>
      </w:r>
    </w:p>
    <w:p w14:paraId="0D851E55">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12E60504">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三、投标保证金</w:t>
      </w:r>
    </w:p>
    <w:p w14:paraId="3EF510EC">
      <w:pPr>
        <w:pStyle w:val="4"/>
        <w:widowControl/>
        <w:spacing w:beforeAutospacing="0" w:afterAutospacing="0" w:line="480" w:lineRule="atLeast"/>
        <w:ind w:firstLine="420"/>
        <w:jc w:val="center"/>
        <w:rPr>
          <w:rFonts w:ascii="宋体" w:hAnsi="宋体" w:eastAsia="宋体" w:cs="宋体"/>
        </w:rPr>
      </w:pPr>
      <w:r>
        <w:rPr>
          <w:rFonts w:hint="eastAsia" w:ascii="宋体" w:hAnsi="宋体" w:eastAsia="宋体" w:cs="宋体"/>
        </w:rPr>
        <w:t>编制说明</w:t>
      </w:r>
    </w:p>
    <w:p w14:paraId="0F58EBF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1、在此项下提交的“投标保证金”材料可使用转账凭证复印件或从福建省政府采购网上公开信息系统中下载的有关原始页面的打印件。</w:t>
      </w:r>
    </w:p>
    <w:p w14:paraId="5581788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2、投标保证金是否已提交的认定按照招标文件第三章规定执行。</w:t>
      </w:r>
    </w:p>
    <w:p w14:paraId="6B879FD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4D74F5B0">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73DA294E">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封面格式(报价部分)</w:t>
      </w:r>
    </w:p>
    <w:p w14:paraId="18D20248">
      <w:pPr>
        <w:pStyle w:val="7"/>
        <w:widowControl/>
        <w:spacing w:beforeAutospacing="0" w:afterAutospacing="0"/>
        <w:jc w:val="center"/>
        <w:rPr>
          <w:rFonts w:hint="default" w:cs="宋体"/>
          <w:sz w:val="78"/>
          <w:szCs w:val="78"/>
        </w:rPr>
      </w:pPr>
      <w:r>
        <w:rPr>
          <w:rFonts w:cs="宋体"/>
          <w:sz w:val="78"/>
          <w:szCs w:val="78"/>
        </w:rPr>
        <w:t>福建省政府采购投标文件</w:t>
      </w:r>
    </w:p>
    <w:p w14:paraId="4A584BF7">
      <w:pPr>
        <w:pStyle w:val="7"/>
        <w:widowControl/>
        <w:spacing w:beforeAutospacing="0" w:afterAutospacing="0"/>
        <w:jc w:val="center"/>
        <w:rPr>
          <w:rFonts w:hint="default" w:cs="宋体"/>
          <w:sz w:val="78"/>
          <w:szCs w:val="78"/>
        </w:rPr>
      </w:pPr>
      <w:r>
        <w:rPr>
          <w:rFonts w:cs="宋体"/>
          <w:sz w:val="78"/>
          <w:szCs w:val="78"/>
        </w:rPr>
        <w:t>（报价部分）</w:t>
      </w:r>
    </w:p>
    <w:p w14:paraId="193B4E34">
      <w:pPr>
        <w:widowControl/>
        <w:spacing w:after="240"/>
        <w:jc w:val="left"/>
      </w:pPr>
      <w:r>
        <w:rPr>
          <w:rFonts w:ascii="宋体" w:hAnsi="宋体" w:eastAsia="宋体" w:cs="宋体"/>
          <w:kern w:val="0"/>
          <w:sz w:val="24"/>
        </w:rPr>
        <w:br w:type="textWrapping"/>
      </w:r>
    </w:p>
    <w:p w14:paraId="1AB2D3EF">
      <w:pPr>
        <w:pStyle w:val="8"/>
        <w:widowControl/>
        <w:spacing w:beforeAutospacing="0" w:afterAutospacing="0" w:line="480" w:lineRule="atLeast"/>
        <w:jc w:val="center"/>
        <w:rPr>
          <w:rFonts w:hint="default" w:cs="宋体"/>
          <w:sz w:val="39"/>
          <w:szCs w:val="39"/>
        </w:rPr>
      </w:pPr>
      <w:r>
        <w:rPr>
          <w:rFonts w:cs="宋体"/>
          <w:sz w:val="39"/>
          <w:szCs w:val="39"/>
        </w:rPr>
        <w:t>（填写正本或副本）</w:t>
      </w:r>
    </w:p>
    <w:p w14:paraId="544BE6C1">
      <w:pPr>
        <w:widowControl/>
        <w:spacing w:after="240"/>
        <w:jc w:val="left"/>
      </w:pPr>
      <w:r>
        <w:rPr>
          <w:rFonts w:ascii="宋体" w:hAnsi="宋体" w:eastAsia="宋体" w:cs="宋体"/>
          <w:kern w:val="0"/>
          <w:sz w:val="24"/>
        </w:rPr>
        <w:br w:type="textWrapping"/>
      </w:r>
      <w:r>
        <w:rPr>
          <w:rFonts w:ascii="宋体" w:hAnsi="宋体" w:eastAsia="宋体" w:cs="宋体"/>
          <w:kern w:val="0"/>
          <w:sz w:val="24"/>
        </w:rPr>
        <w:br w:type="textWrapping"/>
      </w:r>
      <w:r>
        <w:rPr>
          <w:rFonts w:ascii="宋体" w:hAnsi="宋体" w:eastAsia="宋体" w:cs="宋体"/>
          <w:kern w:val="0"/>
          <w:sz w:val="24"/>
        </w:rPr>
        <w:br w:type="textWrapping"/>
      </w:r>
    </w:p>
    <w:p w14:paraId="098A008C">
      <w:pPr>
        <w:pStyle w:val="6"/>
        <w:widowControl/>
        <w:spacing w:beforeAutospacing="0" w:afterAutospacing="0" w:line="480" w:lineRule="atLeast"/>
        <w:jc w:val="center"/>
        <w:rPr>
          <w:rFonts w:hint="default" w:cs="宋体"/>
        </w:rPr>
      </w:pPr>
      <w:r>
        <w:rPr>
          <w:rFonts w:cs="宋体"/>
        </w:rPr>
        <w:t>（项目名称：（由投标人填写）</w:t>
      </w:r>
    </w:p>
    <w:p w14:paraId="3DE74F19">
      <w:pPr>
        <w:pStyle w:val="6"/>
        <w:widowControl/>
        <w:spacing w:beforeAutospacing="0" w:afterAutospacing="0" w:line="480" w:lineRule="atLeast"/>
        <w:jc w:val="center"/>
        <w:rPr>
          <w:rFonts w:hint="default" w:cs="宋体"/>
        </w:rPr>
      </w:pPr>
      <w:r>
        <w:rPr>
          <w:rFonts w:cs="宋体"/>
        </w:rPr>
        <w:t>（备案编号：（由投标人填写）</w:t>
      </w:r>
    </w:p>
    <w:p w14:paraId="3ABA4351">
      <w:pPr>
        <w:pStyle w:val="6"/>
        <w:widowControl/>
        <w:spacing w:beforeAutospacing="0" w:afterAutospacing="0" w:line="480" w:lineRule="atLeast"/>
        <w:jc w:val="center"/>
        <w:rPr>
          <w:rFonts w:hint="default" w:cs="宋体"/>
        </w:rPr>
      </w:pPr>
      <w:r>
        <w:rPr>
          <w:rFonts w:cs="宋体"/>
        </w:rPr>
        <w:t>（项目编号：（由投标人填写）</w:t>
      </w:r>
    </w:p>
    <w:p w14:paraId="2FD94869">
      <w:pPr>
        <w:pStyle w:val="6"/>
        <w:widowControl/>
        <w:spacing w:beforeAutospacing="0" w:afterAutospacing="0" w:line="480" w:lineRule="atLeast"/>
        <w:jc w:val="center"/>
        <w:rPr>
          <w:rFonts w:hint="default" w:cs="宋体"/>
        </w:rPr>
      </w:pPr>
      <w:r>
        <w:rPr>
          <w:rFonts w:cs="宋体"/>
        </w:rPr>
        <w:t>（所投采购包：（由投标人填写）</w:t>
      </w:r>
    </w:p>
    <w:p w14:paraId="720F8E8C">
      <w:pPr>
        <w:widowControl/>
        <w:spacing w:after="240"/>
        <w:jc w:val="left"/>
      </w:pPr>
    </w:p>
    <w:p w14:paraId="2152D5D6">
      <w:pPr>
        <w:pStyle w:val="6"/>
        <w:widowControl/>
        <w:spacing w:beforeAutospacing="0" w:afterAutospacing="0" w:line="480" w:lineRule="atLeast"/>
        <w:jc w:val="center"/>
        <w:rPr>
          <w:rFonts w:hint="default" w:cs="宋体"/>
        </w:rPr>
      </w:pPr>
      <w:r>
        <w:rPr>
          <w:rFonts w:cs="宋体"/>
        </w:rPr>
        <w:t>投标人：（填写“全称”）</w:t>
      </w:r>
    </w:p>
    <w:p w14:paraId="1758513D">
      <w:pPr>
        <w:pStyle w:val="6"/>
        <w:widowControl/>
        <w:spacing w:beforeAutospacing="0" w:afterAutospacing="0" w:line="480" w:lineRule="atLeast"/>
        <w:jc w:val="center"/>
        <w:rPr>
          <w:rFonts w:hint="default" w:cs="宋体"/>
        </w:rPr>
      </w:pPr>
      <w:r>
        <w:rPr>
          <w:rFonts w:cs="宋体"/>
        </w:rPr>
        <w:t>（由投标人填写）年（由投标人填写）月</w:t>
      </w:r>
    </w:p>
    <w:p w14:paraId="4AAABDC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4DA2760C">
      <w:pPr>
        <w:rPr>
          <w:rFonts w:ascii="宋体" w:hAnsi="宋体" w:eastAsia="宋体" w:cs="宋体"/>
          <w:b/>
          <w:bCs/>
          <w:color w:val="333333"/>
          <w:sz w:val="27"/>
          <w:szCs w:val="27"/>
          <w:shd w:val="clear" w:color="auto" w:fill="FFFFFF"/>
        </w:rPr>
      </w:pPr>
      <w:r>
        <w:rPr>
          <w:rFonts w:hint="eastAsia" w:ascii="宋体" w:hAnsi="宋体" w:eastAsia="宋体" w:cs="宋体"/>
          <w:b/>
          <w:bCs/>
          <w:color w:val="333333"/>
          <w:sz w:val="27"/>
          <w:szCs w:val="27"/>
          <w:shd w:val="clear" w:color="auto" w:fill="FFFFFF"/>
        </w:rPr>
        <w:br w:type="page"/>
      </w:r>
    </w:p>
    <w:p w14:paraId="123ED846">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索引</w:t>
      </w:r>
    </w:p>
    <w:p w14:paraId="6C7BEF1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一、开标（报价）一览表</w:t>
      </w:r>
    </w:p>
    <w:p w14:paraId="23A4A61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二、投标（响应）报价明细表</w:t>
      </w:r>
    </w:p>
    <w:p w14:paraId="29CCB6A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三、招标文件规定的价格扣除证明材料（若有）</w:t>
      </w:r>
    </w:p>
    <w:p w14:paraId="55420955">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0FB50BF8">
      <w:pPr>
        <w:pStyle w:val="7"/>
        <w:widowControl/>
        <w:spacing w:beforeAutospacing="0" w:afterAutospacing="0" w:line="480" w:lineRule="atLeast"/>
        <w:jc w:val="center"/>
        <w:rPr>
          <w:rFonts w:hint="default" w:cs="宋体"/>
          <w:sz w:val="78"/>
          <w:szCs w:val="78"/>
        </w:rPr>
      </w:pPr>
      <w:r>
        <w:rPr>
          <w:rFonts w:cs="宋体"/>
          <w:color w:val="333333"/>
          <w:sz w:val="78"/>
          <w:szCs w:val="78"/>
          <w:shd w:val="clear" w:color="auto" w:fill="FFFFFF"/>
        </w:rPr>
        <w:t>开标（报价）一览表</w:t>
      </w:r>
    </w:p>
    <w:p w14:paraId="5D2EBD7B">
      <w:pPr>
        <w:widowControl/>
        <w:shd w:val="clear" w:color="auto" w:fill="FFFFFF"/>
        <w:spacing w:line="480" w:lineRule="atLeast"/>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rPr>
        <w:t>公司名称：</w:t>
      </w:r>
    </w:p>
    <w:p w14:paraId="670B1D96">
      <w:pPr>
        <w:widowControl/>
        <w:shd w:val="clear" w:color="auto" w:fill="FFFFFF"/>
        <w:spacing w:line="480" w:lineRule="atLeast"/>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rPr>
        <w:t>包号：1</w:t>
      </w:r>
    </w:p>
    <w:p w14:paraId="43D51A22">
      <w:pPr>
        <w:widowControl/>
        <w:shd w:val="clear" w:color="auto" w:fill="FFFFFF"/>
        <w:spacing w:line="480" w:lineRule="atLeast"/>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rPr>
        <w:t>项目编号：</w:t>
      </w:r>
    </w:p>
    <w:p w14:paraId="1EFE4F8A">
      <w:pPr>
        <w:widowControl/>
        <w:shd w:val="clear" w:color="auto" w:fill="FFFFFF"/>
        <w:spacing w:line="480" w:lineRule="atLeast"/>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rPr>
        <w:t>项目名称：宁德监狱监门一体化平台采购（货物）</w:t>
      </w:r>
    </w:p>
    <w:tbl>
      <w:tblPr>
        <w:tblStyle w:val="17"/>
        <w:tblW w:w="8546" w:type="dxa"/>
        <w:tblInd w:w="0" w:type="dxa"/>
        <w:tblLayout w:type="fixed"/>
        <w:tblCellMar>
          <w:top w:w="0" w:type="dxa"/>
          <w:left w:w="0" w:type="dxa"/>
          <w:bottom w:w="0" w:type="dxa"/>
          <w:right w:w="0" w:type="dxa"/>
        </w:tblCellMar>
      </w:tblPr>
      <w:tblGrid>
        <w:gridCol w:w="651"/>
        <w:gridCol w:w="2379"/>
        <w:gridCol w:w="2646"/>
        <w:gridCol w:w="1878"/>
        <w:gridCol w:w="992"/>
      </w:tblGrid>
      <w:tr w14:paraId="5B961ADA">
        <w:tblPrEx>
          <w:tblCellMar>
            <w:top w:w="0" w:type="dxa"/>
            <w:left w:w="0" w:type="dxa"/>
            <w:bottom w:w="0" w:type="dxa"/>
            <w:right w:w="0" w:type="dxa"/>
          </w:tblCellMar>
        </w:tblPrEx>
        <w:trPr>
          <w:tblHeader/>
        </w:trPr>
        <w:tc>
          <w:tcPr>
            <w:tcW w:w="65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070AEC4">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序号</w:t>
            </w:r>
          </w:p>
        </w:tc>
        <w:tc>
          <w:tcPr>
            <w:tcW w:w="237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73873D8">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报价内容</w:t>
            </w:r>
          </w:p>
        </w:tc>
        <w:tc>
          <w:tcPr>
            <w:tcW w:w="264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46CD72C">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最高限价</w:t>
            </w:r>
          </w:p>
        </w:tc>
        <w:tc>
          <w:tcPr>
            <w:tcW w:w="1878"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6901965">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响应报价</w:t>
            </w:r>
          </w:p>
        </w:tc>
        <w:tc>
          <w:tcPr>
            <w:tcW w:w="992"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63538D4">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价款形式</w:t>
            </w:r>
          </w:p>
        </w:tc>
      </w:tr>
      <w:tr w14:paraId="73979836">
        <w:tblPrEx>
          <w:tblCellMar>
            <w:top w:w="0" w:type="dxa"/>
            <w:left w:w="0" w:type="dxa"/>
            <w:bottom w:w="0" w:type="dxa"/>
            <w:right w:w="0" w:type="dxa"/>
          </w:tblCellMar>
        </w:tblPrEx>
        <w:tc>
          <w:tcPr>
            <w:tcW w:w="65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2DE096">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1</w:t>
            </w:r>
          </w:p>
        </w:tc>
        <w:tc>
          <w:tcPr>
            <w:tcW w:w="237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5A388B">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宁德监狱监门一体化平台采购（货物）</w:t>
            </w:r>
          </w:p>
        </w:tc>
        <w:tc>
          <w:tcPr>
            <w:tcW w:w="264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DB3B164">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860400元</w:t>
            </w:r>
          </w:p>
        </w:tc>
        <w:tc>
          <w:tcPr>
            <w:tcW w:w="187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0ABFC6C">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「汇总引用」 元</w:t>
            </w:r>
          </w:p>
        </w:tc>
        <w:tc>
          <w:tcPr>
            <w:tcW w:w="99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35C9654">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总价</w:t>
            </w:r>
          </w:p>
        </w:tc>
      </w:tr>
    </w:tbl>
    <w:p w14:paraId="3968F8A7">
      <w:pPr>
        <w:widowControl/>
        <w:shd w:val="clear" w:color="auto" w:fill="FFFFFF"/>
        <w:spacing w:line="480" w:lineRule="atLeast"/>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rPr>
        <w:t>备注：无</w:t>
      </w:r>
    </w:p>
    <w:p w14:paraId="7C169893">
      <w:pPr>
        <w:widowControl/>
        <w:shd w:val="clear" w:color="auto" w:fill="FFFFFF"/>
        <w:spacing w:line="480" w:lineRule="atLeast"/>
        <w:jc w:val="right"/>
        <w:rPr>
          <w:rFonts w:ascii="宋体" w:hAnsi="宋体" w:eastAsia="宋体" w:cs="宋体"/>
          <w:color w:val="333333"/>
          <w:sz w:val="24"/>
        </w:rPr>
      </w:pPr>
      <w:r>
        <w:rPr>
          <w:rFonts w:hint="eastAsia" w:ascii="宋体" w:hAnsi="宋体" w:eastAsia="宋体" w:cs="宋体"/>
          <w:color w:val="333333"/>
          <w:kern w:val="0"/>
          <w:sz w:val="24"/>
          <w:shd w:val="clear" w:color="auto" w:fill="FFFFFF"/>
        </w:rPr>
        <w:t>时间：      年     月     日</w:t>
      </w:r>
    </w:p>
    <w:p w14:paraId="03324214">
      <w:pPr>
        <w:widowControl/>
        <w:shd w:val="clear" w:color="auto" w:fill="FFFFFF"/>
        <w:spacing w:line="480" w:lineRule="atLeast"/>
        <w:jc w:val="right"/>
        <w:rPr>
          <w:rFonts w:ascii="宋体" w:hAnsi="宋体" w:eastAsia="宋体" w:cs="宋体"/>
          <w:color w:val="333333"/>
          <w:sz w:val="24"/>
        </w:rPr>
      </w:pPr>
      <w:r>
        <w:rPr>
          <w:rFonts w:hint="eastAsia" w:ascii="宋体" w:hAnsi="宋体" w:eastAsia="宋体" w:cs="宋体"/>
          <w:color w:val="333333"/>
          <w:kern w:val="0"/>
          <w:sz w:val="24"/>
          <w:shd w:val="clear" w:color="auto" w:fill="FFFFFF"/>
        </w:rPr>
        <w:t>签章：                      </w:t>
      </w:r>
    </w:p>
    <w:p w14:paraId="63CC2938">
      <w:pPr>
        <w:pStyle w:val="7"/>
        <w:widowControl/>
        <w:spacing w:beforeAutospacing="0" w:afterAutospacing="0" w:line="480" w:lineRule="atLeast"/>
        <w:jc w:val="center"/>
        <w:rPr>
          <w:rFonts w:hint="default" w:cs="宋体"/>
          <w:sz w:val="78"/>
          <w:szCs w:val="78"/>
        </w:rPr>
      </w:pPr>
      <w:r>
        <w:rPr>
          <w:rFonts w:cs="宋体"/>
          <w:color w:val="333333"/>
          <w:sz w:val="78"/>
          <w:szCs w:val="78"/>
          <w:shd w:val="clear" w:color="auto" w:fill="FFFFFF"/>
        </w:rPr>
        <w:t>投标（响应）报价明细表</w:t>
      </w:r>
    </w:p>
    <w:p w14:paraId="3B33E33F">
      <w:pPr>
        <w:widowControl/>
        <w:shd w:val="clear" w:color="auto" w:fill="FFFFFF"/>
        <w:spacing w:line="480" w:lineRule="atLeast"/>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rPr>
        <w:t>公司名称：</w:t>
      </w:r>
    </w:p>
    <w:p w14:paraId="17D6BA33">
      <w:pPr>
        <w:widowControl/>
        <w:shd w:val="clear" w:color="auto" w:fill="FFFFFF"/>
        <w:spacing w:line="480" w:lineRule="atLeast"/>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rPr>
        <w:t>包号： 1</w:t>
      </w:r>
    </w:p>
    <w:p w14:paraId="6152E484">
      <w:pPr>
        <w:widowControl/>
        <w:shd w:val="clear" w:color="auto" w:fill="FFFFFF"/>
        <w:spacing w:line="480" w:lineRule="atLeast"/>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rPr>
        <w:t>项目编号：</w:t>
      </w:r>
    </w:p>
    <w:p w14:paraId="7B96838F">
      <w:pPr>
        <w:widowControl/>
        <w:shd w:val="clear" w:color="auto" w:fill="FFFFFF"/>
        <w:spacing w:line="480" w:lineRule="atLeast"/>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rPr>
        <w:t>项目名称：宁德监狱监门一体化平台采购（货物）</w:t>
      </w:r>
    </w:p>
    <w:p w14:paraId="05BD1337">
      <w:pPr>
        <w:widowControl/>
        <w:shd w:val="clear" w:color="auto" w:fill="FFFFFF"/>
        <w:spacing w:line="480" w:lineRule="atLeast"/>
        <w:jc w:val="left"/>
        <w:rPr>
          <w:rFonts w:ascii="宋体" w:hAnsi="宋体" w:eastAsia="宋体" w:cs="宋体"/>
          <w:b/>
          <w:bCs/>
          <w:color w:val="333333"/>
          <w:sz w:val="24"/>
        </w:rPr>
      </w:pPr>
      <w:r>
        <w:rPr>
          <w:rFonts w:hint="eastAsia" w:ascii="宋体" w:hAnsi="宋体" w:eastAsia="宋体" w:cs="宋体"/>
          <w:b/>
          <w:bCs/>
          <w:color w:val="333333"/>
          <w:kern w:val="0"/>
          <w:sz w:val="24"/>
          <w:shd w:val="clear" w:color="auto" w:fill="FFFFFF"/>
        </w:rPr>
        <w:t>宁德监狱监门一体化平台采购（货物）</w:t>
      </w:r>
    </w:p>
    <w:tbl>
      <w:tblPr>
        <w:tblStyle w:val="17"/>
        <w:tblW w:w="8546" w:type="dxa"/>
        <w:tblInd w:w="0" w:type="dxa"/>
        <w:tblLayout w:type="fixed"/>
        <w:tblCellMar>
          <w:top w:w="0" w:type="dxa"/>
          <w:left w:w="0" w:type="dxa"/>
          <w:bottom w:w="0" w:type="dxa"/>
          <w:right w:w="0" w:type="dxa"/>
        </w:tblCellMar>
      </w:tblPr>
      <w:tblGrid>
        <w:gridCol w:w="452"/>
        <w:gridCol w:w="663"/>
        <w:gridCol w:w="557"/>
        <w:gridCol w:w="557"/>
        <w:gridCol w:w="557"/>
        <w:gridCol w:w="557"/>
        <w:gridCol w:w="769"/>
        <w:gridCol w:w="980"/>
        <w:gridCol w:w="452"/>
        <w:gridCol w:w="452"/>
        <w:gridCol w:w="981"/>
        <w:gridCol w:w="558"/>
        <w:gridCol w:w="558"/>
        <w:gridCol w:w="453"/>
      </w:tblGrid>
      <w:tr w14:paraId="71AC55AF">
        <w:tblPrEx>
          <w:tblCellMar>
            <w:top w:w="0" w:type="dxa"/>
            <w:left w:w="0" w:type="dxa"/>
            <w:bottom w:w="0" w:type="dxa"/>
            <w:right w:w="0" w:type="dxa"/>
          </w:tblCellMar>
        </w:tblPrEx>
        <w:trPr>
          <w:tblHeader/>
        </w:trPr>
        <w:tc>
          <w:tcPr>
            <w:tcW w:w="452"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87765B9">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序号</w:t>
            </w:r>
          </w:p>
        </w:tc>
        <w:tc>
          <w:tcPr>
            <w:tcW w:w="663"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C822BE3">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货物名称</w:t>
            </w:r>
          </w:p>
        </w:tc>
        <w:tc>
          <w:tcPr>
            <w:tcW w:w="55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8C21C07">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规格型号</w:t>
            </w:r>
          </w:p>
        </w:tc>
        <w:tc>
          <w:tcPr>
            <w:tcW w:w="55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DA71C8D">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品牌</w:t>
            </w:r>
          </w:p>
        </w:tc>
        <w:tc>
          <w:tcPr>
            <w:tcW w:w="55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D23EC94">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制造商名称</w:t>
            </w:r>
          </w:p>
        </w:tc>
        <w:tc>
          <w:tcPr>
            <w:tcW w:w="55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499F79D">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产地</w:t>
            </w:r>
          </w:p>
        </w:tc>
        <w:tc>
          <w:tcPr>
            <w:tcW w:w="76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4E5E13E">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最高限价</w:t>
            </w:r>
          </w:p>
        </w:tc>
        <w:tc>
          <w:tcPr>
            <w:tcW w:w="98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957009E">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单价</w:t>
            </w:r>
          </w:p>
        </w:tc>
        <w:tc>
          <w:tcPr>
            <w:tcW w:w="452"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06B5547">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数量</w:t>
            </w:r>
          </w:p>
        </w:tc>
        <w:tc>
          <w:tcPr>
            <w:tcW w:w="452"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A308507">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计量单位</w:t>
            </w:r>
          </w:p>
        </w:tc>
        <w:tc>
          <w:tcPr>
            <w:tcW w:w="981"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7CC4631">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总价</w:t>
            </w:r>
          </w:p>
        </w:tc>
        <w:tc>
          <w:tcPr>
            <w:tcW w:w="558"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AA274CC">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是否环境标志产品</w:t>
            </w:r>
          </w:p>
        </w:tc>
        <w:tc>
          <w:tcPr>
            <w:tcW w:w="558"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C88CB8B">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是否节能产品</w:t>
            </w:r>
          </w:p>
        </w:tc>
        <w:tc>
          <w:tcPr>
            <w:tcW w:w="453"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0474394">
            <w:pPr>
              <w:widowControl/>
              <w:wordWrap w:val="0"/>
              <w:spacing w:line="480" w:lineRule="atLeast"/>
              <w:jc w:val="left"/>
              <w:rPr>
                <w:rFonts w:ascii="宋体" w:hAnsi="宋体" w:eastAsia="宋体" w:cs="宋体"/>
                <w:b/>
                <w:bCs/>
                <w:sz w:val="24"/>
              </w:rPr>
            </w:pPr>
            <w:r>
              <w:rPr>
                <w:rFonts w:hint="eastAsia" w:ascii="宋体" w:hAnsi="宋体" w:eastAsia="宋体" w:cs="宋体"/>
                <w:b/>
                <w:bCs/>
                <w:kern w:val="0"/>
                <w:sz w:val="24"/>
              </w:rPr>
              <w:t>报价说明</w:t>
            </w:r>
          </w:p>
        </w:tc>
      </w:tr>
      <w:tr w14:paraId="2B5C97BC">
        <w:tblPrEx>
          <w:tblCellMar>
            <w:top w:w="0" w:type="dxa"/>
            <w:left w:w="0" w:type="dxa"/>
            <w:bottom w:w="0" w:type="dxa"/>
            <w:right w:w="0" w:type="dxa"/>
          </w:tblCellMar>
        </w:tblPrEx>
        <w:tc>
          <w:tcPr>
            <w:tcW w:w="4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6822EC">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1</w:t>
            </w:r>
          </w:p>
        </w:tc>
        <w:tc>
          <w:tcPr>
            <w:tcW w:w="66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FBC4F5">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宁德监狱监门一体化平台采购（货物）</w:t>
            </w:r>
          </w:p>
        </w:tc>
        <w:tc>
          <w:tcPr>
            <w:tcW w:w="55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08C4B6">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{供应商响应}</w:t>
            </w:r>
          </w:p>
        </w:tc>
        <w:tc>
          <w:tcPr>
            <w:tcW w:w="55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E7F405">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{供应商响应}</w:t>
            </w:r>
          </w:p>
        </w:tc>
        <w:tc>
          <w:tcPr>
            <w:tcW w:w="55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3FF275">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{供应商响应}</w:t>
            </w:r>
          </w:p>
        </w:tc>
        <w:tc>
          <w:tcPr>
            <w:tcW w:w="55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0D8ED72">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{供应商响应}</w:t>
            </w:r>
          </w:p>
        </w:tc>
        <w:tc>
          <w:tcPr>
            <w:tcW w:w="76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29A36A5">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860400.0000 元</w:t>
            </w:r>
          </w:p>
        </w:tc>
        <w:tc>
          <w:tcPr>
            <w:tcW w:w="9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893D45">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{=总价/数量} 元</w:t>
            </w:r>
          </w:p>
        </w:tc>
        <w:tc>
          <w:tcPr>
            <w:tcW w:w="4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CEC1FD">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1.0000</w:t>
            </w:r>
          </w:p>
        </w:tc>
        <w:tc>
          <w:tcPr>
            <w:tcW w:w="4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3F210E">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套</w:t>
            </w:r>
          </w:p>
        </w:tc>
        <w:tc>
          <w:tcPr>
            <w:tcW w:w="98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1D3FFE">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{供应商响应} 元</w:t>
            </w:r>
          </w:p>
        </w:tc>
        <w:tc>
          <w:tcPr>
            <w:tcW w:w="55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E0188B">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{供应商响应}</w:t>
            </w:r>
          </w:p>
        </w:tc>
        <w:tc>
          <w:tcPr>
            <w:tcW w:w="55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8110E69">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{供应商响应}</w:t>
            </w:r>
          </w:p>
        </w:tc>
        <w:tc>
          <w:tcPr>
            <w:tcW w:w="45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EAC9F9">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无</w:t>
            </w:r>
          </w:p>
        </w:tc>
      </w:tr>
    </w:tbl>
    <w:p w14:paraId="3E4DD9C8">
      <w:pPr>
        <w:widowControl/>
        <w:shd w:val="clear" w:color="auto" w:fill="FFFFFF"/>
        <w:spacing w:line="480" w:lineRule="atLeast"/>
        <w:jc w:val="right"/>
        <w:rPr>
          <w:rFonts w:ascii="宋体" w:hAnsi="宋体" w:eastAsia="宋体" w:cs="宋体"/>
          <w:color w:val="333333"/>
          <w:sz w:val="24"/>
        </w:rPr>
      </w:pPr>
      <w:r>
        <w:rPr>
          <w:rFonts w:hint="eastAsia" w:ascii="宋体" w:hAnsi="宋体" w:eastAsia="宋体" w:cs="宋体"/>
          <w:b/>
          <w:bCs/>
          <w:color w:val="333333"/>
          <w:kern w:val="0"/>
          <w:sz w:val="24"/>
          <w:shd w:val="clear" w:color="auto" w:fill="FFFFFF"/>
        </w:rPr>
        <w:t>合计</w:t>
      </w:r>
      <w:r>
        <w:rPr>
          <w:rFonts w:hint="eastAsia" w:ascii="宋体" w:hAnsi="宋体" w:eastAsia="宋体" w:cs="宋体"/>
          <w:color w:val="333333"/>
          <w:kern w:val="0"/>
          <w:sz w:val="24"/>
          <w:shd w:val="clear" w:color="auto" w:fill="FFFFFF"/>
        </w:rPr>
        <w:t>：</w:t>
      </w:r>
    </w:p>
    <w:p w14:paraId="3A948C10">
      <w:pPr>
        <w:widowControl/>
        <w:shd w:val="clear" w:color="auto" w:fill="FFFFFF"/>
        <w:spacing w:line="480" w:lineRule="atLeast"/>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rPr>
        <w:t>备注：无</w:t>
      </w:r>
    </w:p>
    <w:p w14:paraId="2FDBDF78">
      <w:pPr>
        <w:widowControl/>
        <w:shd w:val="clear" w:color="auto" w:fill="FFFFFF"/>
        <w:spacing w:line="480" w:lineRule="atLeast"/>
        <w:jc w:val="right"/>
        <w:rPr>
          <w:rFonts w:ascii="宋体" w:hAnsi="宋体" w:eastAsia="宋体" w:cs="宋体"/>
          <w:color w:val="333333"/>
          <w:sz w:val="24"/>
        </w:rPr>
      </w:pPr>
      <w:r>
        <w:rPr>
          <w:rFonts w:hint="eastAsia" w:ascii="宋体" w:hAnsi="宋体" w:eastAsia="宋体" w:cs="宋体"/>
          <w:color w:val="333333"/>
          <w:kern w:val="0"/>
          <w:sz w:val="24"/>
          <w:shd w:val="clear" w:color="auto" w:fill="FFFFFF"/>
        </w:rPr>
        <w:t>时间：      年     月     日</w:t>
      </w:r>
    </w:p>
    <w:p w14:paraId="27F589DB">
      <w:pPr>
        <w:widowControl/>
        <w:shd w:val="clear" w:color="auto" w:fill="FFFFFF"/>
        <w:spacing w:line="480" w:lineRule="atLeast"/>
        <w:jc w:val="right"/>
        <w:rPr>
          <w:rFonts w:ascii="宋体" w:hAnsi="宋体" w:eastAsia="宋体" w:cs="宋体"/>
          <w:color w:val="333333"/>
          <w:sz w:val="24"/>
        </w:rPr>
      </w:pPr>
      <w:r>
        <w:rPr>
          <w:rFonts w:hint="eastAsia" w:ascii="宋体" w:hAnsi="宋体" w:eastAsia="宋体" w:cs="宋体"/>
          <w:color w:val="333333"/>
          <w:kern w:val="0"/>
          <w:sz w:val="24"/>
          <w:shd w:val="clear" w:color="auto" w:fill="FFFFFF"/>
        </w:rPr>
        <w:t>签章：                      </w:t>
      </w:r>
    </w:p>
    <w:p w14:paraId="3C9BB35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03D68633">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三、招标文件规定的价格扣除证明材料（若有）</w:t>
      </w:r>
    </w:p>
    <w:p w14:paraId="7569362A">
      <w:pPr>
        <w:pStyle w:val="9"/>
        <w:widowControl/>
        <w:spacing w:beforeAutospacing="0" w:afterAutospacing="0" w:line="480" w:lineRule="atLeast"/>
        <w:jc w:val="center"/>
        <w:rPr>
          <w:rFonts w:hint="default" w:cs="宋体"/>
        </w:rPr>
      </w:pPr>
      <w:r>
        <w:rPr>
          <w:rFonts w:cs="宋体"/>
        </w:rPr>
        <w:t>三-1优先类节能产品、环境标志产品价格扣除证明材料（若有）</w:t>
      </w:r>
    </w:p>
    <w:p w14:paraId="46B7FBB7">
      <w:pPr>
        <w:pStyle w:val="9"/>
        <w:widowControl/>
        <w:spacing w:beforeAutospacing="0" w:afterAutospacing="0" w:line="480" w:lineRule="atLeast"/>
        <w:jc w:val="center"/>
        <w:rPr>
          <w:rFonts w:hint="default" w:cs="宋体"/>
        </w:rPr>
      </w:pPr>
      <w:r>
        <w:rPr>
          <w:rFonts w:cs="宋体"/>
        </w:rPr>
        <w:t>三-1-①优先类节能产品、环境标志产品统计表（价格扣除适用，若有）</w:t>
      </w:r>
    </w:p>
    <w:p w14:paraId="1AEAA08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17"/>
        <w:tblW w:w="8544" w:type="dxa"/>
        <w:tblInd w:w="0" w:type="dxa"/>
        <w:tblLayout w:type="fixed"/>
        <w:tblCellMar>
          <w:top w:w="0" w:type="dxa"/>
          <w:left w:w="0" w:type="dxa"/>
          <w:bottom w:w="0" w:type="dxa"/>
          <w:right w:w="0" w:type="dxa"/>
        </w:tblCellMar>
      </w:tblPr>
      <w:tblGrid>
        <w:gridCol w:w="898"/>
        <w:gridCol w:w="899"/>
        <w:gridCol w:w="1120"/>
        <w:gridCol w:w="5357"/>
        <w:gridCol w:w="89"/>
        <w:gridCol w:w="89"/>
        <w:gridCol w:w="92"/>
      </w:tblGrid>
      <w:tr w14:paraId="596134ED">
        <w:tblPrEx>
          <w:tblCellMar>
            <w:top w:w="0" w:type="dxa"/>
            <w:left w:w="0" w:type="dxa"/>
            <w:bottom w:w="0" w:type="dxa"/>
            <w:right w:w="0" w:type="dxa"/>
          </w:tblCellMar>
        </w:tblPrEx>
        <w:tc>
          <w:tcPr>
            <w:tcW w:w="89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CFD64B">
            <w:pPr>
              <w:jc w:val="center"/>
              <w:rPr>
                <w:rFonts w:ascii="宋体" w:hAnsi="宋体" w:eastAsia="宋体" w:cs="宋体"/>
                <w:sz w:val="24"/>
              </w:rPr>
            </w:pPr>
          </w:p>
        </w:tc>
        <w:tc>
          <w:tcPr>
            <w:tcW w:w="7646" w:type="dxa"/>
            <w:gridSpan w:val="6"/>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B19AD5">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本采购包内属于节能、环境标志产品情况</w:t>
            </w:r>
          </w:p>
        </w:tc>
      </w:tr>
      <w:tr w14:paraId="7047F221">
        <w:tblPrEx>
          <w:tblCellMar>
            <w:top w:w="0" w:type="dxa"/>
            <w:left w:w="0" w:type="dxa"/>
            <w:bottom w:w="0" w:type="dxa"/>
            <w:right w:w="0" w:type="dxa"/>
          </w:tblCellMar>
        </w:tblPrEx>
        <w:tc>
          <w:tcPr>
            <w:tcW w:w="89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A087BF">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采购包</w:t>
            </w:r>
          </w:p>
        </w:tc>
        <w:tc>
          <w:tcPr>
            <w:tcW w:w="89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2A02E3">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品目号</w:t>
            </w:r>
          </w:p>
        </w:tc>
        <w:tc>
          <w:tcPr>
            <w:tcW w:w="112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257BCD">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产品名称</w:t>
            </w:r>
          </w:p>
        </w:tc>
        <w:tc>
          <w:tcPr>
            <w:tcW w:w="535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6A16732">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认证种类</w:t>
            </w:r>
          </w:p>
        </w:tc>
        <w:tc>
          <w:tcPr>
            <w:tcW w:w="89" w:type="dxa"/>
            <w:shd w:val="clear" w:color="auto" w:fill="auto"/>
            <w:vAlign w:val="center"/>
          </w:tcPr>
          <w:p w14:paraId="4018B126">
            <w:pPr>
              <w:rPr>
                <w:rFonts w:ascii="宋体" w:hAnsi="宋体" w:eastAsia="宋体" w:cs="宋体"/>
                <w:sz w:val="24"/>
              </w:rPr>
            </w:pPr>
          </w:p>
        </w:tc>
        <w:tc>
          <w:tcPr>
            <w:tcW w:w="89" w:type="dxa"/>
            <w:shd w:val="clear" w:color="auto" w:fill="auto"/>
            <w:vAlign w:val="center"/>
          </w:tcPr>
          <w:p w14:paraId="165CF50E">
            <w:pPr>
              <w:rPr>
                <w:rFonts w:ascii="宋体" w:hAnsi="宋体" w:eastAsia="宋体" w:cs="宋体"/>
                <w:sz w:val="24"/>
              </w:rPr>
            </w:pPr>
          </w:p>
        </w:tc>
        <w:tc>
          <w:tcPr>
            <w:tcW w:w="92" w:type="dxa"/>
            <w:shd w:val="clear" w:color="auto" w:fill="auto"/>
            <w:vAlign w:val="center"/>
          </w:tcPr>
          <w:p w14:paraId="7030F642">
            <w:pPr>
              <w:rPr>
                <w:rFonts w:ascii="宋体" w:hAnsi="宋体" w:eastAsia="宋体" w:cs="宋体"/>
                <w:sz w:val="24"/>
              </w:rPr>
            </w:pPr>
          </w:p>
        </w:tc>
      </w:tr>
      <w:tr w14:paraId="51D2083E">
        <w:tblPrEx>
          <w:tblCellMar>
            <w:top w:w="0" w:type="dxa"/>
            <w:left w:w="0" w:type="dxa"/>
            <w:bottom w:w="0" w:type="dxa"/>
            <w:right w:w="0" w:type="dxa"/>
          </w:tblCellMar>
        </w:tblPrEx>
        <w:tc>
          <w:tcPr>
            <w:tcW w:w="898" w:type="dxa"/>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95C9AEF">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w:t>
            </w:r>
          </w:p>
        </w:tc>
        <w:tc>
          <w:tcPr>
            <w:tcW w:w="89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F55749">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*-1</w:t>
            </w:r>
          </w:p>
        </w:tc>
        <w:tc>
          <w:tcPr>
            <w:tcW w:w="112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C7CB46">
            <w:pPr>
              <w:jc w:val="center"/>
              <w:rPr>
                <w:rFonts w:ascii="宋体" w:hAnsi="宋体" w:eastAsia="宋体" w:cs="宋体"/>
                <w:sz w:val="24"/>
              </w:rPr>
            </w:pPr>
          </w:p>
        </w:tc>
        <w:tc>
          <w:tcPr>
            <w:tcW w:w="535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BB8E75">
            <w:pPr>
              <w:widowControl/>
              <w:wordWrap w:val="0"/>
              <w:spacing w:line="480" w:lineRule="atLeast"/>
              <w:jc w:val="center"/>
              <w:rPr>
                <w:rFonts w:ascii="宋体" w:hAnsi="宋体" w:eastAsia="宋体" w:cs="宋体"/>
                <w:sz w:val="24"/>
              </w:rPr>
            </w:pPr>
            <w:r>
              <w:rPr>
                <w:rFonts w:hint="eastAsia" w:ascii="宋体" w:hAnsi="宋体" w:eastAsia="宋体" w:cs="宋体"/>
                <w:kern w:val="0"/>
                <w:sz w:val="24"/>
              </w:rPr>
              <w:t>供应商自行填写种类，并上传证明附件以便评审查看</w:t>
            </w:r>
          </w:p>
        </w:tc>
        <w:tc>
          <w:tcPr>
            <w:tcW w:w="89" w:type="dxa"/>
            <w:shd w:val="clear" w:color="auto" w:fill="auto"/>
            <w:vAlign w:val="center"/>
          </w:tcPr>
          <w:p w14:paraId="09022CD5">
            <w:pPr>
              <w:rPr>
                <w:rFonts w:ascii="宋体" w:hAnsi="宋体" w:eastAsia="宋体" w:cs="宋体"/>
                <w:sz w:val="24"/>
              </w:rPr>
            </w:pPr>
          </w:p>
        </w:tc>
        <w:tc>
          <w:tcPr>
            <w:tcW w:w="89" w:type="dxa"/>
            <w:shd w:val="clear" w:color="auto" w:fill="auto"/>
            <w:vAlign w:val="center"/>
          </w:tcPr>
          <w:p w14:paraId="54D5DA12">
            <w:pPr>
              <w:rPr>
                <w:rFonts w:ascii="宋体" w:hAnsi="宋体" w:eastAsia="宋体" w:cs="宋体"/>
                <w:sz w:val="24"/>
              </w:rPr>
            </w:pPr>
          </w:p>
        </w:tc>
        <w:tc>
          <w:tcPr>
            <w:tcW w:w="92" w:type="dxa"/>
            <w:shd w:val="clear" w:color="auto" w:fill="auto"/>
            <w:vAlign w:val="center"/>
          </w:tcPr>
          <w:p w14:paraId="294E6846">
            <w:pPr>
              <w:rPr>
                <w:rFonts w:ascii="宋体" w:hAnsi="宋体" w:eastAsia="宋体" w:cs="宋体"/>
                <w:sz w:val="24"/>
              </w:rPr>
            </w:pPr>
          </w:p>
        </w:tc>
      </w:tr>
      <w:tr w14:paraId="3A8C538B">
        <w:tblPrEx>
          <w:tblCellMar>
            <w:top w:w="0" w:type="dxa"/>
            <w:left w:w="0" w:type="dxa"/>
            <w:bottom w:w="0" w:type="dxa"/>
            <w:right w:w="0" w:type="dxa"/>
          </w:tblCellMar>
        </w:tblPrEx>
        <w:tc>
          <w:tcPr>
            <w:tcW w:w="898" w:type="dxa"/>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BA5C3E">
            <w:pPr>
              <w:jc w:val="center"/>
              <w:rPr>
                <w:rFonts w:ascii="宋体" w:hAnsi="宋体" w:eastAsia="宋体" w:cs="宋体"/>
                <w:sz w:val="24"/>
              </w:rPr>
            </w:pPr>
          </w:p>
        </w:tc>
        <w:tc>
          <w:tcPr>
            <w:tcW w:w="89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D8E5768">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w:t>
            </w:r>
          </w:p>
        </w:tc>
        <w:tc>
          <w:tcPr>
            <w:tcW w:w="112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FD8111A">
            <w:pPr>
              <w:jc w:val="center"/>
              <w:rPr>
                <w:rFonts w:ascii="宋体" w:hAnsi="宋体" w:eastAsia="宋体" w:cs="宋体"/>
                <w:sz w:val="24"/>
              </w:rPr>
            </w:pPr>
          </w:p>
        </w:tc>
        <w:tc>
          <w:tcPr>
            <w:tcW w:w="535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95AF8FA">
            <w:pPr>
              <w:jc w:val="center"/>
              <w:rPr>
                <w:rFonts w:ascii="宋体" w:hAnsi="宋体" w:eastAsia="宋体" w:cs="宋体"/>
                <w:sz w:val="24"/>
              </w:rPr>
            </w:pPr>
          </w:p>
        </w:tc>
        <w:tc>
          <w:tcPr>
            <w:tcW w:w="89" w:type="dxa"/>
            <w:shd w:val="clear" w:color="auto" w:fill="auto"/>
            <w:vAlign w:val="center"/>
          </w:tcPr>
          <w:p w14:paraId="68E997CD">
            <w:pPr>
              <w:rPr>
                <w:rFonts w:ascii="宋体" w:hAnsi="宋体" w:eastAsia="宋体" w:cs="宋体"/>
                <w:sz w:val="24"/>
              </w:rPr>
            </w:pPr>
          </w:p>
        </w:tc>
        <w:tc>
          <w:tcPr>
            <w:tcW w:w="89" w:type="dxa"/>
            <w:shd w:val="clear" w:color="auto" w:fill="auto"/>
            <w:vAlign w:val="center"/>
          </w:tcPr>
          <w:p w14:paraId="0CFF09CC">
            <w:pPr>
              <w:rPr>
                <w:rFonts w:ascii="宋体" w:hAnsi="宋体" w:eastAsia="宋体" w:cs="宋体"/>
                <w:sz w:val="24"/>
              </w:rPr>
            </w:pPr>
          </w:p>
        </w:tc>
        <w:tc>
          <w:tcPr>
            <w:tcW w:w="92" w:type="dxa"/>
            <w:shd w:val="clear" w:color="auto" w:fill="auto"/>
            <w:vAlign w:val="center"/>
          </w:tcPr>
          <w:p w14:paraId="65C04D13">
            <w:pPr>
              <w:rPr>
                <w:rFonts w:ascii="宋体" w:hAnsi="宋体" w:eastAsia="宋体" w:cs="宋体"/>
                <w:sz w:val="24"/>
              </w:rPr>
            </w:pPr>
          </w:p>
        </w:tc>
      </w:tr>
      <w:tr w14:paraId="023874A6">
        <w:tblPrEx>
          <w:tblCellMar>
            <w:top w:w="0" w:type="dxa"/>
            <w:left w:w="0" w:type="dxa"/>
            <w:bottom w:w="0" w:type="dxa"/>
            <w:right w:w="0" w:type="dxa"/>
          </w:tblCellMar>
        </w:tblPrEx>
        <w:tc>
          <w:tcPr>
            <w:tcW w:w="89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EA9751">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备注</w:t>
            </w:r>
          </w:p>
        </w:tc>
        <w:tc>
          <w:tcPr>
            <w:tcW w:w="7376" w:type="dxa"/>
            <w:gridSpan w:val="3"/>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BD771A">
            <w:pPr>
              <w:jc w:val="center"/>
              <w:rPr>
                <w:rFonts w:ascii="宋体" w:hAnsi="宋体" w:eastAsia="宋体" w:cs="宋体"/>
                <w:sz w:val="24"/>
              </w:rPr>
            </w:pPr>
          </w:p>
        </w:tc>
        <w:tc>
          <w:tcPr>
            <w:tcW w:w="89" w:type="dxa"/>
            <w:shd w:val="clear" w:color="auto" w:fill="auto"/>
            <w:vAlign w:val="center"/>
          </w:tcPr>
          <w:p w14:paraId="46EF433B">
            <w:pPr>
              <w:rPr>
                <w:rFonts w:ascii="宋体" w:hAnsi="宋体" w:eastAsia="宋体" w:cs="宋体"/>
                <w:sz w:val="24"/>
              </w:rPr>
            </w:pPr>
          </w:p>
        </w:tc>
        <w:tc>
          <w:tcPr>
            <w:tcW w:w="89" w:type="dxa"/>
            <w:shd w:val="clear" w:color="auto" w:fill="auto"/>
            <w:vAlign w:val="center"/>
          </w:tcPr>
          <w:p w14:paraId="4B834148">
            <w:pPr>
              <w:rPr>
                <w:rFonts w:ascii="宋体" w:hAnsi="宋体" w:eastAsia="宋体" w:cs="宋体"/>
                <w:sz w:val="24"/>
              </w:rPr>
            </w:pPr>
          </w:p>
        </w:tc>
        <w:tc>
          <w:tcPr>
            <w:tcW w:w="92" w:type="dxa"/>
            <w:shd w:val="clear" w:color="auto" w:fill="auto"/>
            <w:vAlign w:val="center"/>
          </w:tcPr>
          <w:p w14:paraId="3DCC8065">
            <w:pPr>
              <w:rPr>
                <w:rFonts w:ascii="宋体" w:hAnsi="宋体" w:eastAsia="宋体" w:cs="宋体"/>
                <w:sz w:val="24"/>
              </w:rPr>
            </w:pPr>
          </w:p>
        </w:tc>
      </w:tr>
    </w:tbl>
    <w:p w14:paraId="6DD741B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091A88B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1、对节能、环境标志产品计算价格扣除时，只依据电子投标文件“投标（响应）报价明细表”以及“优先类节能产品、环境标志产品证明材料（价格扣除适用，若有）”。</w:t>
      </w:r>
    </w:p>
    <w:p w14:paraId="2ED62E0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2、本表以采购包为单位，不同采购包请分别填写；同一采购包请按照其品目号顺序分别填写。</w:t>
      </w:r>
    </w:p>
    <w:p w14:paraId="145DE7A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3、具体统计、计算：</w:t>
      </w:r>
    </w:p>
    <w:p w14:paraId="0B18D48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3.1同一品目中各认证证书不重复计算价格扣除。</w:t>
      </w:r>
    </w:p>
    <w:p w14:paraId="2FF1A25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3.2计算结果若除不尽，可四舍五入保留到小数点后两位。</w:t>
      </w:r>
    </w:p>
    <w:p w14:paraId="2CB8780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3.3投标人(供应商)按照采购文件要求认真统计、计算。</w:t>
      </w:r>
    </w:p>
    <w:p w14:paraId="0FB47EB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3.4若无节能、环境标志产品，不填写本表。</w:t>
      </w:r>
    </w:p>
    <w:p w14:paraId="3C5D560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3.5强制类节能产品不享受价格扣除。</w:t>
      </w:r>
    </w:p>
    <w:p w14:paraId="488CD82B">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45DC7E73">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29DDBA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6A16BF95">
      <w:pPr>
        <w:pStyle w:val="9"/>
        <w:widowControl/>
        <w:spacing w:beforeAutospacing="0" w:afterAutospacing="0" w:line="480" w:lineRule="atLeast"/>
        <w:jc w:val="center"/>
        <w:rPr>
          <w:rFonts w:hint="default" w:cs="宋体"/>
        </w:rPr>
      </w:pPr>
      <w:r>
        <w:rPr>
          <w:rFonts w:cs="宋体"/>
        </w:rPr>
        <w:t>三-1-②优先类节能产品、环境标志产品证明材料（价格扣除适用，若有）</w:t>
      </w:r>
    </w:p>
    <w:p w14:paraId="1F58E1F8">
      <w:pPr>
        <w:pStyle w:val="9"/>
        <w:widowControl/>
        <w:spacing w:beforeAutospacing="0" w:afterAutospacing="0" w:line="480" w:lineRule="atLeast"/>
        <w:jc w:val="center"/>
        <w:rPr>
          <w:rFonts w:hint="default" w:cs="宋体"/>
        </w:rPr>
      </w:pPr>
      <w:r>
        <w:rPr>
          <w:rFonts w:cs="宋体"/>
        </w:rPr>
        <w:t>三-2小型、微型企业产品等价格扣除证明材料（若有）</w:t>
      </w:r>
    </w:p>
    <w:p w14:paraId="64F558BD">
      <w:pPr>
        <w:pStyle w:val="9"/>
        <w:widowControl/>
        <w:spacing w:beforeAutospacing="0" w:afterAutospacing="0" w:line="480" w:lineRule="atLeast"/>
        <w:jc w:val="center"/>
        <w:rPr>
          <w:rFonts w:hint="default" w:cs="宋体"/>
        </w:rPr>
      </w:pPr>
      <w:r>
        <w:rPr>
          <w:rFonts w:cs="宋体"/>
        </w:rPr>
        <w:t>三-2-①中小企业声明函（价格扣除适用，若有）</w:t>
      </w:r>
    </w:p>
    <w:p w14:paraId="12AEE8CC">
      <w:pPr>
        <w:pStyle w:val="9"/>
        <w:widowControl/>
        <w:spacing w:beforeAutospacing="0" w:afterAutospacing="0" w:line="480" w:lineRule="atLeast"/>
        <w:jc w:val="center"/>
        <w:rPr>
          <w:rFonts w:hint="default" w:cs="宋体"/>
        </w:rPr>
      </w:pPr>
      <w:r>
        <w:rPr>
          <w:rFonts w:cs="宋体"/>
        </w:rPr>
        <w:t>中小企业声明函（货物）</w:t>
      </w:r>
    </w:p>
    <w:p w14:paraId="2E26B1C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6B6B858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w:t>
      </w:r>
      <w:r>
        <w:rPr>
          <w:rFonts w:hint="eastAsia" w:ascii="宋体" w:hAnsi="宋体" w:eastAsia="宋体" w:cs="宋体"/>
          <w:u w:val="single"/>
        </w:rPr>
        <w:t>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ascii="宋体" w:hAnsi="宋体" w:eastAsia="宋体" w:cs="宋体"/>
          <w:sz w:val="21"/>
          <w:szCs w:val="21"/>
        </w:rPr>
        <w:t>1</w:t>
      </w:r>
      <w:r>
        <w:rPr>
          <w:rFonts w:hint="eastAsia" w:ascii="宋体" w:hAnsi="宋体" w:eastAsia="宋体" w:cs="宋体"/>
        </w:rPr>
        <w:t>，属于</w:t>
      </w:r>
      <w:r>
        <w:rPr>
          <w:rFonts w:hint="eastAsia" w:ascii="宋体" w:hAnsi="宋体" w:eastAsia="宋体" w:cs="宋体"/>
          <w:u w:val="single"/>
        </w:rPr>
        <w:t>（中型企业、小型企业、微型企业）</w:t>
      </w:r>
      <w:r>
        <w:rPr>
          <w:rFonts w:hint="eastAsia" w:ascii="宋体" w:hAnsi="宋体" w:eastAsia="宋体" w:cs="宋体"/>
        </w:rPr>
        <w:t>；</w:t>
      </w:r>
    </w:p>
    <w:p w14:paraId="00E2CC1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w:t>
      </w:r>
      <w:r>
        <w:rPr>
          <w:rFonts w:hint="eastAsia" w:ascii="宋体" w:hAnsi="宋体" w:eastAsia="宋体" w:cs="宋体"/>
          <w:u w:val="single"/>
        </w:rPr>
        <w:t>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671AFC9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w:t>
      </w:r>
    </w:p>
    <w:p w14:paraId="15D7055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666A1FF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本企业对上述声明内容的真实性负责。如有虚假，将依法承担相应责任。</w:t>
      </w:r>
    </w:p>
    <w:p w14:paraId="30850925">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76437E0C">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53D9622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1AF47D9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7E9A6A7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C25422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4E6980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75E272EE">
      <w:pPr>
        <w:pStyle w:val="9"/>
        <w:widowControl/>
        <w:spacing w:beforeAutospacing="0" w:afterAutospacing="0" w:line="480" w:lineRule="atLeast"/>
        <w:jc w:val="center"/>
        <w:rPr>
          <w:rFonts w:hint="default" w:cs="宋体"/>
        </w:rPr>
      </w:pPr>
      <w:r>
        <w:rPr>
          <w:rFonts w:cs="宋体"/>
        </w:rPr>
        <w:t>中小企业声明函（工程、服务）</w:t>
      </w:r>
    </w:p>
    <w:p w14:paraId="330E8FA5">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22E1CBB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hint="eastAsia" w:ascii="宋体" w:hAnsi="宋体" w:eastAsia="宋体" w:cs="宋体"/>
          <w:sz w:val="21"/>
          <w:szCs w:val="21"/>
        </w:rPr>
        <w:t>1</w:t>
      </w:r>
      <w:r>
        <w:rPr>
          <w:rFonts w:hint="eastAsia" w:ascii="宋体" w:hAnsi="宋体" w:eastAsia="宋体" w:cs="宋体"/>
        </w:rPr>
        <w:t>，属于</w:t>
      </w:r>
      <w:r>
        <w:rPr>
          <w:rFonts w:hint="eastAsia" w:ascii="宋体" w:hAnsi="宋体" w:eastAsia="宋体" w:cs="宋体"/>
          <w:u w:val="single"/>
        </w:rPr>
        <w:t>（中型企业、小型企业、微型企业）</w:t>
      </w:r>
      <w:r>
        <w:rPr>
          <w:rFonts w:hint="eastAsia" w:ascii="宋体" w:hAnsi="宋体" w:eastAsia="宋体" w:cs="宋体"/>
        </w:rPr>
        <w:t>；</w:t>
      </w:r>
    </w:p>
    <w:p w14:paraId="470A3FD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52817A0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w:t>
      </w:r>
    </w:p>
    <w:p w14:paraId="45C976C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4756726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本企业对上述声明内容的真实性负责。如有虚假，将依法承担相应责任。</w:t>
      </w:r>
    </w:p>
    <w:p w14:paraId="6426925C">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2BB51CD4">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3CE4F19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4027EDD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235E3C7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49577D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FE884A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4F7BFF00">
      <w:pPr>
        <w:pStyle w:val="9"/>
        <w:widowControl/>
        <w:spacing w:beforeAutospacing="0" w:afterAutospacing="0" w:line="480" w:lineRule="atLeast"/>
        <w:jc w:val="center"/>
        <w:rPr>
          <w:rFonts w:hint="default" w:cs="宋体"/>
        </w:rPr>
      </w:pPr>
      <w:r>
        <w:rPr>
          <w:rFonts w:cs="宋体"/>
        </w:rPr>
        <w:t>三-2-②小型、微型企业等证明材料（价格扣除适用，若有）</w:t>
      </w:r>
    </w:p>
    <w:p w14:paraId="76555B25">
      <w:pPr>
        <w:pStyle w:val="4"/>
        <w:widowControl/>
        <w:spacing w:beforeAutospacing="0" w:afterAutospacing="0" w:line="480" w:lineRule="atLeast"/>
        <w:ind w:firstLine="420"/>
        <w:jc w:val="center"/>
        <w:rPr>
          <w:rFonts w:ascii="宋体" w:hAnsi="宋体" w:eastAsia="宋体" w:cs="宋体"/>
        </w:rPr>
      </w:pPr>
      <w:r>
        <w:rPr>
          <w:rFonts w:hint="eastAsia" w:ascii="宋体" w:hAnsi="宋体" w:eastAsia="宋体" w:cs="宋体"/>
        </w:rPr>
        <w:t>编制说明</w:t>
      </w:r>
    </w:p>
    <w:p w14:paraId="4607B41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1、投标人为监狱企业的，根据其提供的由省级以上监狱管理局、戒毒管理局（含新疆生产建设兵团）出具的属于监狱企业的证明文件进行认定，监狱企业视同小型、微型企业。</w:t>
      </w:r>
    </w:p>
    <w:p w14:paraId="6E4FD5C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2、投标人为残疾人福利性单位的，根据其提供的《残疾人福利性单位声明函》（格式附后）进行认定，残疾人福利性单位视同小型、微型企业。残疾人福利性单位属于小型、微型企业的，不重复享受政策。</w:t>
      </w:r>
    </w:p>
    <w:p w14:paraId="62F19AF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附：</w:t>
      </w:r>
    </w:p>
    <w:p w14:paraId="009F89E0">
      <w:pPr>
        <w:pStyle w:val="9"/>
        <w:widowControl/>
        <w:spacing w:beforeAutospacing="0" w:afterAutospacing="0" w:line="480" w:lineRule="atLeast"/>
        <w:jc w:val="center"/>
        <w:rPr>
          <w:rFonts w:hint="default" w:cs="宋体"/>
        </w:rPr>
      </w:pPr>
      <w:r>
        <w:rPr>
          <w:rFonts w:cs="宋体"/>
        </w:rPr>
        <w:t>残疾人福利性单位声明函（价格扣除适用，若有）</w:t>
      </w:r>
    </w:p>
    <w:p w14:paraId="59BC390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F9682E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5CBB04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）由本投标人承建的（填写“所投采购包、品目号”）工程</w:t>
      </w:r>
    </w:p>
    <w:p w14:paraId="5ECBF1B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）由本投标人承接的（填写“所投采购包、品目号”）服务；</w:t>
      </w:r>
    </w:p>
    <w:p w14:paraId="3F0B78D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本投标人对上述声明的真实性负责。如有虚假，将依法承担相应责任。</w:t>
      </w:r>
    </w:p>
    <w:p w14:paraId="3582A5E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备注：</w:t>
      </w:r>
    </w:p>
    <w:p w14:paraId="51D389E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1、请投标人按照实际情况编制填写本声明函，并在相应的（）中打“√”。</w:t>
      </w:r>
    </w:p>
    <w:p w14:paraId="07F436E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2、若《残疾人福利性单位声明函》内容不真实，视为提供虚假材料。</w:t>
      </w:r>
    </w:p>
    <w:p w14:paraId="6363820E">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416FAA49">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5EEF51D5">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1F0CEE7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附：</w:t>
      </w:r>
    </w:p>
    <w:p w14:paraId="6DBCF3B2">
      <w:pPr>
        <w:pStyle w:val="9"/>
        <w:widowControl/>
        <w:spacing w:beforeAutospacing="0" w:afterAutospacing="0" w:line="480" w:lineRule="atLeast"/>
        <w:jc w:val="center"/>
        <w:rPr>
          <w:rFonts w:hint="default" w:cs="宋体"/>
        </w:rPr>
      </w:pPr>
      <w:r>
        <w:rPr>
          <w:rFonts w:cs="宋体"/>
        </w:rPr>
        <w:t>监狱企业证明材料</w:t>
      </w:r>
    </w:p>
    <w:p w14:paraId="57394BA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14:paraId="64DD1492">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 </w:t>
      </w:r>
    </w:p>
    <w:p w14:paraId="22380013">
      <w:pPr>
        <w:pStyle w:val="9"/>
        <w:widowControl/>
        <w:spacing w:beforeAutospacing="0" w:afterAutospacing="0" w:line="480" w:lineRule="atLeast"/>
        <w:jc w:val="center"/>
        <w:rPr>
          <w:rFonts w:hint="default" w:cs="宋体"/>
        </w:rPr>
      </w:pPr>
      <w:r>
        <w:rPr>
          <w:rFonts w:cs="宋体"/>
        </w:rPr>
        <w:t>三-3招标文件规定的其他价格扣除证明材料（若有）</w:t>
      </w:r>
    </w:p>
    <w:p w14:paraId="12203EA4">
      <w:pPr>
        <w:pStyle w:val="4"/>
        <w:widowControl/>
        <w:spacing w:beforeAutospacing="0" w:afterAutospacing="0" w:line="480" w:lineRule="atLeast"/>
        <w:ind w:firstLine="420"/>
        <w:jc w:val="center"/>
        <w:rPr>
          <w:rFonts w:ascii="宋体" w:hAnsi="宋体" w:eastAsia="宋体" w:cs="宋体"/>
        </w:rPr>
      </w:pPr>
      <w:r>
        <w:rPr>
          <w:rFonts w:hint="eastAsia" w:ascii="宋体" w:hAnsi="宋体" w:eastAsia="宋体" w:cs="宋体"/>
        </w:rPr>
        <w:t>编制说明</w:t>
      </w:r>
    </w:p>
    <w:p w14:paraId="77636C9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若投标人可享受招标文件规定的除“节能（非强制类）、环境标志产品价格扣除”及“小型、微型企业产品等价格扣除”外的其他价格扣除优惠，则投标人应按照招标文件要求提供相应证明材料。</w:t>
      </w:r>
    </w:p>
    <w:p w14:paraId="2CBB071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343C6FDC">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封面格式(技术商务部分)</w:t>
      </w:r>
    </w:p>
    <w:p w14:paraId="25EBBE6E">
      <w:pPr>
        <w:pStyle w:val="7"/>
        <w:widowControl/>
        <w:spacing w:beforeAutospacing="0" w:afterAutospacing="0"/>
        <w:jc w:val="center"/>
        <w:rPr>
          <w:rFonts w:hint="default" w:cs="宋体"/>
          <w:sz w:val="78"/>
          <w:szCs w:val="78"/>
        </w:rPr>
      </w:pPr>
      <w:r>
        <w:rPr>
          <w:rFonts w:cs="宋体"/>
          <w:sz w:val="78"/>
          <w:szCs w:val="78"/>
        </w:rPr>
        <w:t>福建省政府采购投标文件</w:t>
      </w:r>
    </w:p>
    <w:p w14:paraId="18CB0ED0">
      <w:pPr>
        <w:pStyle w:val="7"/>
        <w:widowControl/>
        <w:spacing w:beforeAutospacing="0" w:afterAutospacing="0"/>
        <w:jc w:val="center"/>
        <w:rPr>
          <w:rFonts w:hint="default" w:cs="宋体"/>
          <w:sz w:val="78"/>
          <w:szCs w:val="78"/>
        </w:rPr>
      </w:pPr>
      <w:r>
        <w:rPr>
          <w:rFonts w:cs="宋体"/>
          <w:sz w:val="78"/>
          <w:szCs w:val="78"/>
        </w:rPr>
        <w:t>（技术商务部分）</w:t>
      </w:r>
    </w:p>
    <w:p w14:paraId="77D68DEB">
      <w:pPr>
        <w:widowControl/>
        <w:spacing w:after="240"/>
        <w:jc w:val="left"/>
      </w:pPr>
      <w:r>
        <w:rPr>
          <w:rFonts w:ascii="宋体" w:hAnsi="宋体" w:eastAsia="宋体" w:cs="宋体"/>
          <w:kern w:val="0"/>
          <w:sz w:val="24"/>
        </w:rPr>
        <w:br w:type="textWrapping"/>
      </w:r>
    </w:p>
    <w:p w14:paraId="4E8EFEF0">
      <w:pPr>
        <w:pStyle w:val="8"/>
        <w:widowControl/>
        <w:spacing w:beforeAutospacing="0" w:afterAutospacing="0" w:line="480" w:lineRule="atLeast"/>
        <w:jc w:val="center"/>
        <w:rPr>
          <w:rFonts w:hint="default" w:cs="宋体"/>
          <w:sz w:val="39"/>
          <w:szCs w:val="39"/>
        </w:rPr>
      </w:pPr>
      <w:r>
        <w:rPr>
          <w:rFonts w:cs="宋体"/>
          <w:sz w:val="39"/>
          <w:szCs w:val="39"/>
        </w:rPr>
        <w:t>（填写正本或副本）</w:t>
      </w:r>
    </w:p>
    <w:p w14:paraId="6A78181E">
      <w:pPr>
        <w:widowControl/>
        <w:spacing w:after="240"/>
        <w:jc w:val="left"/>
      </w:pPr>
      <w:r>
        <w:rPr>
          <w:rFonts w:ascii="宋体" w:hAnsi="宋体" w:eastAsia="宋体" w:cs="宋体"/>
          <w:kern w:val="0"/>
          <w:sz w:val="24"/>
        </w:rPr>
        <w:br w:type="textWrapping"/>
      </w:r>
      <w:r>
        <w:rPr>
          <w:rFonts w:ascii="宋体" w:hAnsi="宋体" w:eastAsia="宋体" w:cs="宋体"/>
          <w:kern w:val="0"/>
          <w:sz w:val="24"/>
        </w:rPr>
        <w:br w:type="textWrapping"/>
      </w:r>
      <w:r>
        <w:rPr>
          <w:rFonts w:ascii="宋体" w:hAnsi="宋体" w:eastAsia="宋体" w:cs="宋体"/>
          <w:kern w:val="0"/>
          <w:sz w:val="24"/>
        </w:rPr>
        <w:br w:type="textWrapping"/>
      </w:r>
    </w:p>
    <w:p w14:paraId="7B0281F7">
      <w:pPr>
        <w:pStyle w:val="6"/>
        <w:widowControl/>
        <w:spacing w:beforeAutospacing="0" w:afterAutospacing="0" w:line="480" w:lineRule="atLeast"/>
        <w:jc w:val="center"/>
        <w:rPr>
          <w:rFonts w:hint="default" w:cs="宋体"/>
        </w:rPr>
      </w:pPr>
      <w:r>
        <w:rPr>
          <w:rFonts w:cs="宋体"/>
        </w:rPr>
        <w:t>（项目名称：（由投标人填写）</w:t>
      </w:r>
    </w:p>
    <w:p w14:paraId="1BBDC76E">
      <w:pPr>
        <w:pStyle w:val="6"/>
        <w:widowControl/>
        <w:spacing w:beforeAutospacing="0" w:afterAutospacing="0" w:line="480" w:lineRule="atLeast"/>
        <w:jc w:val="center"/>
        <w:rPr>
          <w:rFonts w:hint="default" w:cs="宋体"/>
        </w:rPr>
      </w:pPr>
      <w:r>
        <w:rPr>
          <w:rFonts w:cs="宋体"/>
        </w:rPr>
        <w:t>（备案编号：（由投标人填写）</w:t>
      </w:r>
    </w:p>
    <w:p w14:paraId="3DD3BE6B">
      <w:pPr>
        <w:pStyle w:val="6"/>
        <w:widowControl/>
        <w:spacing w:beforeAutospacing="0" w:afterAutospacing="0" w:line="480" w:lineRule="atLeast"/>
        <w:jc w:val="center"/>
        <w:rPr>
          <w:rFonts w:hint="default" w:cs="宋体"/>
        </w:rPr>
      </w:pPr>
      <w:r>
        <w:rPr>
          <w:rFonts w:cs="宋体"/>
        </w:rPr>
        <w:t>（项目编号：（由投标人填写）</w:t>
      </w:r>
    </w:p>
    <w:p w14:paraId="08148E75">
      <w:pPr>
        <w:pStyle w:val="6"/>
        <w:widowControl/>
        <w:spacing w:beforeAutospacing="0" w:afterAutospacing="0" w:line="480" w:lineRule="atLeast"/>
        <w:jc w:val="center"/>
        <w:rPr>
          <w:rFonts w:hint="default" w:cs="宋体"/>
        </w:rPr>
      </w:pPr>
      <w:r>
        <w:rPr>
          <w:rFonts w:cs="宋体"/>
        </w:rPr>
        <w:t>（所投采购包：（由投标人填写）</w:t>
      </w:r>
    </w:p>
    <w:p w14:paraId="2C329C62">
      <w:pPr>
        <w:widowControl/>
        <w:spacing w:after="240"/>
        <w:jc w:val="left"/>
      </w:pPr>
    </w:p>
    <w:p w14:paraId="3E0D8D71">
      <w:pPr>
        <w:pStyle w:val="6"/>
        <w:widowControl/>
        <w:spacing w:beforeAutospacing="0" w:afterAutospacing="0" w:line="480" w:lineRule="atLeast"/>
        <w:jc w:val="center"/>
        <w:rPr>
          <w:rFonts w:hint="default" w:cs="宋体"/>
        </w:rPr>
      </w:pPr>
      <w:r>
        <w:rPr>
          <w:rFonts w:cs="宋体"/>
        </w:rPr>
        <w:t>投标人：（填写“全称”）</w:t>
      </w:r>
    </w:p>
    <w:p w14:paraId="1D072948">
      <w:pPr>
        <w:pStyle w:val="6"/>
        <w:widowControl/>
        <w:spacing w:beforeAutospacing="0" w:afterAutospacing="0" w:line="480" w:lineRule="atLeast"/>
        <w:jc w:val="center"/>
        <w:rPr>
          <w:rFonts w:hint="default" w:cs="宋体"/>
        </w:rPr>
      </w:pPr>
      <w:r>
        <w:rPr>
          <w:rFonts w:cs="宋体"/>
        </w:rPr>
        <w:t>（由投标人填写）年（由投标人填写）月</w:t>
      </w:r>
    </w:p>
    <w:p w14:paraId="7CFFD74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54C684B8">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索引</w:t>
      </w:r>
    </w:p>
    <w:p w14:paraId="18434F60">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一、标的说明一览表</w:t>
      </w:r>
    </w:p>
    <w:p w14:paraId="4F368A0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二、技术和服务要求响应表</w:t>
      </w:r>
    </w:p>
    <w:p w14:paraId="2FB681E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三、商务条件响应表</w:t>
      </w:r>
    </w:p>
    <w:p w14:paraId="67E248D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四、投标人提交的其他资料（若有）</w:t>
      </w:r>
    </w:p>
    <w:p w14:paraId="2181F7E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11C4B98B">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技术商务部分中不得出现报价部分的全部或部分的投标报价信息（或组成资料），否则符合性审查不合格。</w:t>
      </w:r>
    </w:p>
    <w:p w14:paraId="259551B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0EE733E0">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一、标的说明一览表</w:t>
      </w:r>
    </w:p>
    <w:p w14:paraId="17B5C85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17"/>
        <w:tblW w:w="8539" w:type="dxa"/>
        <w:tblInd w:w="0" w:type="dxa"/>
        <w:tblLayout w:type="fixed"/>
        <w:tblCellMar>
          <w:top w:w="0" w:type="dxa"/>
          <w:left w:w="0" w:type="dxa"/>
          <w:bottom w:w="0" w:type="dxa"/>
          <w:right w:w="0" w:type="dxa"/>
        </w:tblCellMar>
      </w:tblPr>
      <w:tblGrid>
        <w:gridCol w:w="1314"/>
        <w:gridCol w:w="1314"/>
        <w:gridCol w:w="1643"/>
        <w:gridCol w:w="984"/>
        <w:gridCol w:w="984"/>
        <w:gridCol w:w="1315"/>
        <w:gridCol w:w="985"/>
      </w:tblGrid>
      <w:tr w14:paraId="54AEFCD2">
        <w:tblPrEx>
          <w:tblCellMar>
            <w:top w:w="0" w:type="dxa"/>
            <w:left w:w="0" w:type="dxa"/>
            <w:bottom w:w="0" w:type="dxa"/>
            <w:right w:w="0" w:type="dxa"/>
          </w:tblCellMar>
        </w:tblPrEx>
        <w:tc>
          <w:tcPr>
            <w:tcW w:w="13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E222B3">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采购包</w:t>
            </w:r>
          </w:p>
        </w:tc>
        <w:tc>
          <w:tcPr>
            <w:tcW w:w="13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CC651F">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品目号</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7A806C4">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投标标的</w:t>
            </w:r>
          </w:p>
        </w:tc>
        <w:tc>
          <w:tcPr>
            <w:tcW w:w="9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8AD773">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数量</w:t>
            </w:r>
          </w:p>
        </w:tc>
        <w:tc>
          <w:tcPr>
            <w:tcW w:w="9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F9C70EA">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规格</w:t>
            </w:r>
          </w:p>
        </w:tc>
        <w:tc>
          <w:tcPr>
            <w:tcW w:w="13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07C45C">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来源地</w:t>
            </w:r>
          </w:p>
        </w:tc>
        <w:tc>
          <w:tcPr>
            <w:tcW w:w="9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A2648D">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备注</w:t>
            </w:r>
          </w:p>
        </w:tc>
      </w:tr>
      <w:tr w14:paraId="7D51FDAC">
        <w:tblPrEx>
          <w:tblCellMar>
            <w:top w:w="0" w:type="dxa"/>
            <w:left w:w="0" w:type="dxa"/>
            <w:bottom w:w="0" w:type="dxa"/>
            <w:right w:w="0" w:type="dxa"/>
          </w:tblCellMar>
        </w:tblPrEx>
        <w:tc>
          <w:tcPr>
            <w:tcW w:w="1314" w:type="dxa"/>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820F69F">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w:t>
            </w:r>
          </w:p>
        </w:tc>
        <w:tc>
          <w:tcPr>
            <w:tcW w:w="13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2543D0">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*-1</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525386">
            <w:pPr>
              <w:jc w:val="center"/>
              <w:rPr>
                <w:rFonts w:ascii="宋体" w:hAnsi="宋体" w:eastAsia="宋体" w:cs="宋体"/>
                <w:sz w:val="24"/>
              </w:rPr>
            </w:pPr>
          </w:p>
        </w:tc>
        <w:tc>
          <w:tcPr>
            <w:tcW w:w="9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5DB38A">
            <w:pPr>
              <w:jc w:val="center"/>
              <w:rPr>
                <w:rFonts w:ascii="宋体" w:hAnsi="宋体" w:eastAsia="宋体" w:cs="宋体"/>
                <w:sz w:val="24"/>
              </w:rPr>
            </w:pPr>
          </w:p>
        </w:tc>
        <w:tc>
          <w:tcPr>
            <w:tcW w:w="9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735E0B">
            <w:pPr>
              <w:jc w:val="center"/>
              <w:rPr>
                <w:rFonts w:ascii="宋体" w:hAnsi="宋体" w:eastAsia="宋体" w:cs="宋体"/>
                <w:sz w:val="24"/>
              </w:rPr>
            </w:pPr>
          </w:p>
        </w:tc>
        <w:tc>
          <w:tcPr>
            <w:tcW w:w="13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A1FA33">
            <w:pPr>
              <w:jc w:val="center"/>
              <w:rPr>
                <w:rFonts w:ascii="宋体" w:hAnsi="宋体" w:eastAsia="宋体" w:cs="宋体"/>
                <w:sz w:val="24"/>
              </w:rPr>
            </w:pPr>
          </w:p>
        </w:tc>
        <w:tc>
          <w:tcPr>
            <w:tcW w:w="985" w:type="dxa"/>
            <w:shd w:val="clear" w:color="auto" w:fill="auto"/>
            <w:vAlign w:val="center"/>
          </w:tcPr>
          <w:p w14:paraId="5835BC34">
            <w:pPr>
              <w:rPr>
                <w:rFonts w:ascii="宋体" w:hAnsi="宋体" w:eastAsia="宋体" w:cs="宋体"/>
                <w:sz w:val="24"/>
              </w:rPr>
            </w:pPr>
          </w:p>
        </w:tc>
      </w:tr>
      <w:tr w14:paraId="655A2F2A">
        <w:tblPrEx>
          <w:tblCellMar>
            <w:top w:w="0" w:type="dxa"/>
            <w:left w:w="0" w:type="dxa"/>
            <w:bottom w:w="0" w:type="dxa"/>
            <w:right w:w="0" w:type="dxa"/>
          </w:tblCellMar>
        </w:tblPrEx>
        <w:tc>
          <w:tcPr>
            <w:tcW w:w="1314" w:type="dxa"/>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40C5163">
            <w:pPr>
              <w:jc w:val="center"/>
              <w:rPr>
                <w:rFonts w:ascii="宋体" w:hAnsi="宋体" w:eastAsia="宋体" w:cs="宋体"/>
                <w:sz w:val="24"/>
              </w:rPr>
            </w:pPr>
          </w:p>
        </w:tc>
        <w:tc>
          <w:tcPr>
            <w:tcW w:w="13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7210E17">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9A15E87">
            <w:pPr>
              <w:jc w:val="center"/>
              <w:rPr>
                <w:rFonts w:ascii="宋体" w:hAnsi="宋体" w:eastAsia="宋体" w:cs="宋体"/>
                <w:sz w:val="24"/>
              </w:rPr>
            </w:pPr>
          </w:p>
        </w:tc>
        <w:tc>
          <w:tcPr>
            <w:tcW w:w="9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A1535E">
            <w:pPr>
              <w:jc w:val="center"/>
              <w:rPr>
                <w:rFonts w:ascii="宋体" w:hAnsi="宋体" w:eastAsia="宋体" w:cs="宋体"/>
                <w:sz w:val="24"/>
              </w:rPr>
            </w:pPr>
          </w:p>
        </w:tc>
        <w:tc>
          <w:tcPr>
            <w:tcW w:w="9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36F33C">
            <w:pPr>
              <w:jc w:val="center"/>
              <w:rPr>
                <w:rFonts w:ascii="宋体" w:hAnsi="宋体" w:eastAsia="宋体" w:cs="宋体"/>
                <w:sz w:val="24"/>
              </w:rPr>
            </w:pPr>
          </w:p>
        </w:tc>
        <w:tc>
          <w:tcPr>
            <w:tcW w:w="13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66E9E36">
            <w:pPr>
              <w:jc w:val="center"/>
              <w:rPr>
                <w:rFonts w:ascii="宋体" w:hAnsi="宋体" w:eastAsia="宋体" w:cs="宋体"/>
                <w:sz w:val="24"/>
              </w:rPr>
            </w:pPr>
          </w:p>
        </w:tc>
        <w:tc>
          <w:tcPr>
            <w:tcW w:w="985" w:type="dxa"/>
            <w:shd w:val="clear" w:color="auto" w:fill="auto"/>
            <w:vAlign w:val="center"/>
          </w:tcPr>
          <w:p w14:paraId="475748E2">
            <w:pPr>
              <w:rPr>
                <w:rFonts w:ascii="宋体" w:hAnsi="宋体" w:eastAsia="宋体" w:cs="宋体"/>
                <w:sz w:val="24"/>
              </w:rPr>
            </w:pPr>
          </w:p>
        </w:tc>
      </w:tr>
      <w:tr w14:paraId="57134403">
        <w:tblPrEx>
          <w:tblCellMar>
            <w:top w:w="0" w:type="dxa"/>
            <w:left w:w="0" w:type="dxa"/>
            <w:bottom w:w="0" w:type="dxa"/>
            <w:right w:w="0" w:type="dxa"/>
          </w:tblCellMar>
        </w:tblPrEx>
        <w:tc>
          <w:tcPr>
            <w:tcW w:w="13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50DBDB">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w:t>
            </w:r>
          </w:p>
        </w:tc>
        <w:tc>
          <w:tcPr>
            <w:tcW w:w="13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7DF208">
            <w:pPr>
              <w:jc w:val="center"/>
              <w:rPr>
                <w:rFonts w:ascii="宋体" w:hAnsi="宋体" w:eastAsia="宋体" w:cs="宋体"/>
                <w:sz w:val="24"/>
              </w:rPr>
            </w:pP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F17D1C">
            <w:pPr>
              <w:jc w:val="center"/>
              <w:rPr>
                <w:rFonts w:ascii="宋体" w:hAnsi="宋体" w:eastAsia="宋体" w:cs="宋体"/>
                <w:sz w:val="24"/>
              </w:rPr>
            </w:pPr>
          </w:p>
        </w:tc>
        <w:tc>
          <w:tcPr>
            <w:tcW w:w="9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416793">
            <w:pPr>
              <w:jc w:val="center"/>
              <w:rPr>
                <w:rFonts w:ascii="宋体" w:hAnsi="宋体" w:eastAsia="宋体" w:cs="宋体"/>
                <w:sz w:val="24"/>
              </w:rPr>
            </w:pPr>
          </w:p>
        </w:tc>
        <w:tc>
          <w:tcPr>
            <w:tcW w:w="98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EB69B4">
            <w:pPr>
              <w:jc w:val="center"/>
              <w:rPr>
                <w:rFonts w:ascii="宋体" w:hAnsi="宋体" w:eastAsia="宋体" w:cs="宋体"/>
                <w:sz w:val="24"/>
              </w:rPr>
            </w:pPr>
          </w:p>
        </w:tc>
        <w:tc>
          <w:tcPr>
            <w:tcW w:w="13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78D6D8">
            <w:pPr>
              <w:jc w:val="center"/>
              <w:rPr>
                <w:rFonts w:ascii="宋体" w:hAnsi="宋体" w:eastAsia="宋体" w:cs="宋体"/>
                <w:sz w:val="24"/>
              </w:rPr>
            </w:pPr>
          </w:p>
        </w:tc>
        <w:tc>
          <w:tcPr>
            <w:tcW w:w="985" w:type="dxa"/>
            <w:shd w:val="clear" w:color="auto" w:fill="auto"/>
            <w:vAlign w:val="center"/>
          </w:tcPr>
          <w:p w14:paraId="0C4E5631">
            <w:pPr>
              <w:rPr>
                <w:rFonts w:ascii="宋体" w:hAnsi="宋体" w:eastAsia="宋体" w:cs="宋体"/>
                <w:sz w:val="24"/>
              </w:rPr>
            </w:pPr>
          </w:p>
        </w:tc>
      </w:tr>
    </w:tbl>
    <w:p w14:paraId="3B77993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56247F1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1、本表应按照下列规定填写：</w:t>
      </w:r>
    </w:p>
    <w:p w14:paraId="457BC72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1.1“采购包”、“品目号”、“投标标的”及“数量”应与招标文件《采购标的一览表》中的有关内容（“采购包”、“品目号”、“采购标的”及“数量”）保持一致。</w:t>
      </w:r>
    </w:p>
    <w:p w14:paraId="14CCE50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9395C05">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1.3“投标标的”为服务的：“规格”项下应填写服务提供者提供的服务标准及品牌（若有）。“来源地”应填写服务提供者的所在地。“备注”项下应填写关于服务标准所涵盖的具体项目或内容的说明等。</w:t>
      </w:r>
    </w:p>
    <w:p w14:paraId="2ECE792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14:paraId="5B9BB85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3、电子投标文件中涉及“投标标的”、“数量”、“规格”、“来源地”的内容若不一致，应以本表为准。</w:t>
      </w:r>
    </w:p>
    <w:p w14:paraId="10729BE9">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7FF3AF7B">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5C93823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6A40FAF9">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二、技术和服务要求响应表</w:t>
      </w:r>
    </w:p>
    <w:p w14:paraId="46F0D804">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17"/>
        <w:tblW w:w="8543" w:type="dxa"/>
        <w:tblInd w:w="0" w:type="dxa"/>
        <w:tblLayout w:type="fixed"/>
        <w:tblCellMar>
          <w:top w:w="0" w:type="dxa"/>
          <w:left w:w="0" w:type="dxa"/>
          <w:bottom w:w="0" w:type="dxa"/>
          <w:right w:w="0" w:type="dxa"/>
        </w:tblCellMar>
      </w:tblPr>
      <w:tblGrid>
        <w:gridCol w:w="1178"/>
        <w:gridCol w:w="1178"/>
        <w:gridCol w:w="2357"/>
        <w:gridCol w:w="1473"/>
        <w:gridCol w:w="2357"/>
      </w:tblGrid>
      <w:tr w14:paraId="21E3804C">
        <w:tblPrEx>
          <w:tblCellMar>
            <w:top w:w="0" w:type="dxa"/>
            <w:left w:w="0" w:type="dxa"/>
            <w:bottom w:w="0" w:type="dxa"/>
            <w:right w:w="0" w:type="dxa"/>
          </w:tblCellMar>
        </w:tblPrEx>
        <w:tc>
          <w:tcPr>
            <w:tcW w:w="117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EDD7FB">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采购包</w:t>
            </w:r>
          </w:p>
        </w:tc>
        <w:tc>
          <w:tcPr>
            <w:tcW w:w="117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E78C2F">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品目号</w:t>
            </w:r>
          </w:p>
        </w:tc>
        <w:tc>
          <w:tcPr>
            <w:tcW w:w="235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488A11">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技术和服务要求</w:t>
            </w:r>
          </w:p>
        </w:tc>
        <w:tc>
          <w:tcPr>
            <w:tcW w:w="14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692A96">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投标响应</w:t>
            </w:r>
          </w:p>
        </w:tc>
        <w:tc>
          <w:tcPr>
            <w:tcW w:w="235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F926784">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是否偏离及说明</w:t>
            </w:r>
          </w:p>
        </w:tc>
      </w:tr>
      <w:tr w14:paraId="1A5A1CE4">
        <w:tblPrEx>
          <w:tblCellMar>
            <w:top w:w="0" w:type="dxa"/>
            <w:left w:w="0" w:type="dxa"/>
            <w:bottom w:w="0" w:type="dxa"/>
            <w:right w:w="0" w:type="dxa"/>
          </w:tblCellMar>
        </w:tblPrEx>
        <w:tc>
          <w:tcPr>
            <w:tcW w:w="1178" w:type="dxa"/>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75D62B">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w:t>
            </w:r>
          </w:p>
        </w:tc>
        <w:tc>
          <w:tcPr>
            <w:tcW w:w="117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DAE6C2C">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*-1</w:t>
            </w:r>
          </w:p>
        </w:tc>
        <w:tc>
          <w:tcPr>
            <w:tcW w:w="235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D572757">
            <w:pPr>
              <w:jc w:val="center"/>
              <w:rPr>
                <w:rFonts w:ascii="宋体" w:hAnsi="宋体" w:eastAsia="宋体" w:cs="宋体"/>
                <w:sz w:val="24"/>
              </w:rPr>
            </w:pPr>
          </w:p>
        </w:tc>
        <w:tc>
          <w:tcPr>
            <w:tcW w:w="14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761C7B2">
            <w:pPr>
              <w:jc w:val="center"/>
              <w:rPr>
                <w:rFonts w:ascii="宋体" w:hAnsi="宋体" w:eastAsia="宋体" w:cs="宋体"/>
                <w:sz w:val="24"/>
              </w:rPr>
            </w:pPr>
          </w:p>
        </w:tc>
        <w:tc>
          <w:tcPr>
            <w:tcW w:w="235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7A274E">
            <w:pPr>
              <w:jc w:val="center"/>
              <w:rPr>
                <w:rFonts w:ascii="宋体" w:hAnsi="宋体" w:eastAsia="宋体" w:cs="宋体"/>
                <w:sz w:val="24"/>
              </w:rPr>
            </w:pPr>
          </w:p>
        </w:tc>
      </w:tr>
      <w:tr w14:paraId="688F78EE">
        <w:tblPrEx>
          <w:tblCellMar>
            <w:top w:w="0" w:type="dxa"/>
            <w:left w:w="0" w:type="dxa"/>
            <w:bottom w:w="0" w:type="dxa"/>
            <w:right w:w="0" w:type="dxa"/>
          </w:tblCellMar>
        </w:tblPrEx>
        <w:tc>
          <w:tcPr>
            <w:tcW w:w="1178" w:type="dxa"/>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698DD59">
            <w:pPr>
              <w:jc w:val="center"/>
              <w:rPr>
                <w:rFonts w:ascii="宋体" w:hAnsi="宋体" w:eastAsia="宋体" w:cs="宋体"/>
                <w:sz w:val="24"/>
              </w:rPr>
            </w:pPr>
          </w:p>
        </w:tc>
        <w:tc>
          <w:tcPr>
            <w:tcW w:w="117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19DD63">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w:t>
            </w:r>
          </w:p>
        </w:tc>
        <w:tc>
          <w:tcPr>
            <w:tcW w:w="235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C0000E0">
            <w:pPr>
              <w:jc w:val="center"/>
              <w:rPr>
                <w:rFonts w:ascii="宋体" w:hAnsi="宋体" w:eastAsia="宋体" w:cs="宋体"/>
                <w:sz w:val="24"/>
              </w:rPr>
            </w:pPr>
          </w:p>
        </w:tc>
        <w:tc>
          <w:tcPr>
            <w:tcW w:w="14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5E5459">
            <w:pPr>
              <w:jc w:val="center"/>
              <w:rPr>
                <w:rFonts w:ascii="宋体" w:hAnsi="宋体" w:eastAsia="宋体" w:cs="宋体"/>
                <w:sz w:val="24"/>
              </w:rPr>
            </w:pPr>
          </w:p>
        </w:tc>
        <w:tc>
          <w:tcPr>
            <w:tcW w:w="235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1921C7">
            <w:pPr>
              <w:jc w:val="center"/>
              <w:rPr>
                <w:rFonts w:ascii="宋体" w:hAnsi="宋体" w:eastAsia="宋体" w:cs="宋体"/>
                <w:sz w:val="24"/>
              </w:rPr>
            </w:pPr>
          </w:p>
        </w:tc>
      </w:tr>
      <w:tr w14:paraId="29EEB63C">
        <w:tblPrEx>
          <w:tblCellMar>
            <w:top w:w="0" w:type="dxa"/>
            <w:left w:w="0" w:type="dxa"/>
            <w:bottom w:w="0" w:type="dxa"/>
            <w:right w:w="0" w:type="dxa"/>
          </w:tblCellMar>
        </w:tblPrEx>
        <w:tc>
          <w:tcPr>
            <w:tcW w:w="117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B16C0B">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w:t>
            </w:r>
          </w:p>
        </w:tc>
        <w:tc>
          <w:tcPr>
            <w:tcW w:w="117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FF253F">
            <w:pPr>
              <w:jc w:val="center"/>
              <w:rPr>
                <w:rFonts w:ascii="宋体" w:hAnsi="宋体" w:eastAsia="宋体" w:cs="宋体"/>
                <w:sz w:val="24"/>
              </w:rPr>
            </w:pPr>
          </w:p>
        </w:tc>
        <w:tc>
          <w:tcPr>
            <w:tcW w:w="235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D13122">
            <w:pPr>
              <w:jc w:val="center"/>
              <w:rPr>
                <w:rFonts w:ascii="宋体" w:hAnsi="宋体" w:eastAsia="宋体" w:cs="宋体"/>
                <w:sz w:val="24"/>
              </w:rPr>
            </w:pPr>
          </w:p>
        </w:tc>
        <w:tc>
          <w:tcPr>
            <w:tcW w:w="147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22A560B">
            <w:pPr>
              <w:jc w:val="center"/>
              <w:rPr>
                <w:rFonts w:ascii="宋体" w:hAnsi="宋体" w:eastAsia="宋体" w:cs="宋体"/>
                <w:sz w:val="24"/>
              </w:rPr>
            </w:pPr>
          </w:p>
        </w:tc>
        <w:tc>
          <w:tcPr>
            <w:tcW w:w="235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1E3564">
            <w:pPr>
              <w:jc w:val="center"/>
              <w:rPr>
                <w:rFonts w:ascii="宋体" w:hAnsi="宋体" w:eastAsia="宋体" w:cs="宋体"/>
                <w:sz w:val="24"/>
              </w:rPr>
            </w:pPr>
          </w:p>
        </w:tc>
      </w:tr>
    </w:tbl>
    <w:p w14:paraId="3EA06F4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3FC31C6E">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1、本表应按照下列规定填写：</w:t>
      </w:r>
    </w:p>
    <w:p w14:paraId="38DB326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1.1“技术和服务要求”项下填写的内容应与招标文件第五章“技术和服务要求”的内容保持一致。</w:t>
      </w:r>
    </w:p>
    <w:p w14:paraId="6DB84999">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45A7D6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1.3“是否偏离及说明”项下应按下列规定填写：优于的，填写“正偏离”；符合的，填写“无偏离”；低于的，填写“负偏离”。</w:t>
      </w:r>
    </w:p>
    <w:p w14:paraId="7F13BDF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14:paraId="0EBC1966">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30A89538">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ED56C26">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758D442E">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三、商务条件响应表</w:t>
      </w:r>
    </w:p>
    <w:p w14:paraId="17EBDD1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17"/>
        <w:tblW w:w="8543" w:type="dxa"/>
        <w:tblInd w:w="0" w:type="dxa"/>
        <w:tblLayout w:type="fixed"/>
        <w:tblCellMar>
          <w:top w:w="0" w:type="dxa"/>
          <w:left w:w="0" w:type="dxa"/>
          <w:bottom w:w="0" w:type="dxa"/>
          <w:right w:w="0" w:type="dxa"/>
        </w:tblCellMar>
      </w:tblPr>
      <w:tblGrid>
        <w:gridCol w:w="1314"/>
        <w:gridCol w:w="1314"/>
        <w:gridCol w:w="1643"/>
        <w:gridCol w:w="1643"/>
        <w:gridCol w:w="2629"/>
      </w:tblGrid>
      <w:tr w14:paraId="171392E9">
        <w:tblPrEx>
          <w:tblCellMar>
            <w:top w:w="0" w:type="dxa"/>
            <w:left w:w="0" w:type="dxa"/>
            <w:bottom w:w="0" w:type="dxa"/>
            <w:right w:w="0" w:type="dxa"/>
          </w:tblCellMar>
        </w:tblPrEx>
        <w:tc>
          <w:tcPr>
            <w:tcW w:w="13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47976A">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采购包</w:t>
            </w:r>
          </w:p>
        </w:tc>
        <w:tc>
          <w:tcPr>
            <w:tcW w:w="13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17F7BC">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品目号</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D29A20">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商务条件</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B8279C">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投标响应</w:t>
            </w:r>
          </w:p>
        </w:tc>
        <w:tc>
          <w:tcPr>
            <w:tcW w:w="26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EFD0DD2">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是否偏离及说明</w:t>
            </w:r>
          </w:p>
        </w:tc>
      </w:tr>
      <w:tr w14:paraId="5AE3D71E">
        <w:tblPrEx>
          <w:tblCellMar>
            <w:top w:w="0" w:type="dxa"/>
            <w:left w:w="0" w:type="dxa"/>
            <w:bottom w:w="0" w:type="dxa"/>
            <w:right w:w="0" w:type="dxa"/>
          </w:tblCellMar>
        </w:tblPrEx>
        <w:tc>
          <w:tcPr>
            <w:tcW w:w="1314" w:type="dxa"/>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3CB07B4">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w:t>
            </w:r>
          </w:p>
        </w:tc>
        <w:tc>
          <w:tcPr>
            <w:tcW w:w="13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ED3242">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*-1</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419E7F">
            <w:pPr>
              <w:jc w:val="center"/>
              <w:rPr>
                <w:rFonts w:ascii="宋体" w:hAnsi="宋体" w:eastAsia="宋体" w:cs="宋体"/>
                <w:sz w:val="24"/>
              </w:rPr>
            </w:pP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3461037">
            <w:pPr>
              <w:jc w:val="center"/>
              <w:rPr>
                <w:rFonts w:ascii="宋体" w:hAnsi="宋体" w:eastAsia="宋体" w:cs="宋体"/>
                <w:sz w:val="24"/>
              </w:rPr>
            </w:pPr>
          </w:p>
        </w:tc>
        <w:tc>
          <w:tcPr>
            <w:tcW w:w="26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B69F81">
            <w:pPr>
              <w:jc w:val="center"/>
              <w:rPr>
                <w:rFonts w:ascii="宋体" w:hAnsi="宋体" w:eastAsia="宋体" w:cs="宋体"/>
                <w:sz w:val="24"/>
              </w:rPr>
            </w:pPr>
          </w:p>
        </w:tc>
      </w:tr>
      <w:tr w14:paraId="665B8262">
        <w:tblPrEx>
          <w:tblCellMar>
            <w:top w:w="0" w:type="dxa"/>
            <w:left w:w="0" w:type="dxa"/>
            <w:bottom w:w="0" w:type="dxa"/>
            <w:right w:w="0" w:type="dxa"/>
          </w:tblCellMar>
        </w:tblPrEx>
        <w:tc>
          <w:tcPr>
            <w:tcW w:w="1314" w:type="dxa"/>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9E1CC96">
            <w:pPr>
              <w:jc w:val="center"/>
              <w:rPr>
                <w:rFonts w:ascii="宋体" w:hAnsi="宋体" w:eastAsia="宋体" w:cs="宋体"/>
                <w:sz w:val="24"/>
              </w:rPr>
            </w:pPr>
          </w:p>
        </w:tc>
        <w:tc>
          <w:tcPr>
            <w:tcW w:w="13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601E2C">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w:t>
            </w: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07EB449">
            <w:pPr>
              <w:jc w:val="center"/>
              <w:rPr>
                <w:rFonts w:ascii="宋体" w:hAnsi="宋体" w:eastAsia="宋体" w:cs="宋体"/>
                <w:sz w:val="24"/>
              </w:rPr>
            </w:pP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B90762">
            <w:pPr>
              <w:jc w:val="center"/>
              <w:rPr>
                <w:rFonts w:ascii="宋体" w:hAnsi="宋体" w:eastAsia="宋体" w:cs="宋体"/>
                <w:sz w:val="24"/>
              </w:rPr>
            </w:pPr>
          </w:p>
        </w:tc>
        <w:tc>
          <w:tcPr>
            <w:tcW w:w="26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7EE4A7">
            <w:pPr>
              <w:jc w:val="center"/>
              <w:rPr>
                <w:rFonts w:ascii="宋体" w:hAnsi="宋体" w:eastAsia="宋体" w:cs="宋体"/>
                <w:sz w:val="24"/>
              </w:rPr>
            </w:pPr>
          </w:p>
        </w:tc>
      </w:tr>
      <w:tr w14:paraId="0E80AC91">
        <w:tblPrEx>
          <w:tblCellMar>
            <w:top w:w="0" w:type="dxa"/>
            <w:left w:w="0" w:type="dxa"/>
            <w:bottom w:w="0" w:type="dxa"/>
            <w:right w:w="0" w:type="dxa"/>
          </w:tblCellMar>
        </w:tblPrEx>
        <w:tc>
          <w:tcPr>
            <w:tcW w:w="13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435E7B">
            <w:pPr>
              <w:pStyle w:val="4"/>
              <w:widowControl/>
              <w:wordWrap w:val="0"/>
              <w:spacing w:beforeAutospacing="0" w:afterAutospacing="0" w:line="480" w:lineRule="atLeast"/>
              <w:jc w:val="center"/>
              <w:rPr>
                <w:rFonts w:ascii="宋体" w:hAnsi="宋体" w:eastAsia="宋体" w:cs="宋体"/>
              </w:rPr>
            </w:pPr>
            <w:r>
              <w:rPr>
                <w:rFonts w:hint="eastAsia" w:ascii="宋体" w:hAnsi="宋体" w:eastAsia="宋体" w:cs="宋体"/>
              </w:rPr>
              <w:t>…</w:t>
            </w:r>
          </w:p>
        </w:tc>
        <w:tc>
          <w:tcPr>
            <w:tcW w:w="131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20A8D0">
            <w:pPr>
              <w:jc w:val="center"/>
              <w:rPr>
                <w:rFonts w:ascii="宋体" w:hAnsi="宋体" w:eastAsia="宋体" w:cs="宋体"/>
                <w:sz w:val="24"/>
              </w:rPr>
            </w:pP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A3296D">
            <w:pPr>
              <w:jc w:val="center"/>
              <w:rPr>
                <w:rFonts w:ascii="宋体" w:hAnsi="宋体" w:eastAsia="宋体" w:cs="宋体"/>
                <w:sz w:val="24"/>
              </w:rPr>
            </w:pPr>
          </w:p>
        </w:tc>
        <w:tc>
          <w:tcPr>
            <w:tcW w:w="164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D590A7">
            <w:pPr>
              <w:jc w:val="center"/>
              <w:rPr>
                <w:rFonts w:ascii="宋体" w:hAnsi="宋体" w:eastAsia="宋体" w:cs="宋体"/>
                <w:sz w:val="24"/>
              </w:rPr>
            </w:pPr>
          </w:p>
        </w:tc>
        <w:tc>
          <w:tcPr>
            <w:tcW w:w="26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86034C">
            <w:pPr>
              <w:jc w:val="center"/>
              <w:rPr>
                <w:rFonts w:ascii="宋体" w:hAnsi="宋体" w:eastAsia="宋体" w:cs="宋体"/>
                <w:sz w:val="24"/>
              </w:rPr>
            </w:pPr>
          </w:p>
        </w:tc>
      </w:tr>
    </w:tbl>
    <w:p w14:paraId="4A5C156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※注意：</w:t>
      </w:r>
    </w:p>
    <w:p w14:paraId="5D8C1F8A">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1、本表应按照下列规定填写：</w:t>
      </w:r>
    </w:p>
    <w:p w14:paraId="5E6FDE6D">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1.1“商务条件”项下填写的内容应与招标文件第五章“商务条件”的内容保持一致。</w:t>
      </w:r>
    </w:p>
    <w:p w14:paraId="054E50F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1.2“投标响应”项下应填写具体的响应内容并与“商务条件”项下填写的内容逐项对应；对“商务条件”项下涉及“≥或＞”、“≤或＜”及某个区间值范围内的内容，应填写具体的数值。</w:t>
      </w:r>
    </w:p>
    <w:p w14:paraId="0B19B2D3">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1.3“是否偏离及说明”项下应按下列规定填写：优于的，填写“正偏离”；符合的，填写“无偏离”；低于的，填写“负偏离”。</w:t>
      </w:r>
    </w:p>
    <w:p w14:paraId="6EACCF3F">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14:paraId="044FE686">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16AE620E">
      <w:pPr>
        <w:pStyle w:val="4"/>
        <w:widowControl/>
        <w:spacing w:beforeAutospacing="0" w:afterAutospacing="0" w:line="480" w:lineRule="atLeast"/>
        <w:ind w:firstLine="420"/>
        <w:jc w:val="righ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78BBE958">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color w:val="333333"/>
          <w:shd w:val="clear" w:color="auto" w:fill="FFFFFF"/>
        </w:rPr>
        <w:t> </w:t>
      </w:r>
    </w:p>
    <w:p w14:paraId="239152BB">
      <w:pPr>
        <w:pStyle w:val="6"/>
        <w:widowControl/>
        <w:shd w:val="clear" w:color="auto" w:fill="FFFFFF"/>
        <w:spacing w:beforeAutospacing="0" w:afterAutospacing="0" w:line="480" w:lineRule="atLeast"/>
        <w:jc w:val="center"/>
        <w:rPr>
          <w:rFonts w:hint="default" w:cs="宋体"/>
          <w:color w:val="333333"/>
        </w:rPr>
      </w:pPr>
      <w:r>
        <w:rPr>
          <w:rFonts w:cs="宋体"/>
          <w:color w:val="333333"/>
          <w:shd w:val="clear" w:color="auto" w:fill="FFFFFF"/>
        </w:rPr>
        <w:t>四、投标人提交的其他资料（若有）</w:t>
      </w:r>
    </w:p>
    <w:p w14:paraId="6418A779">
      <w:pPr>
        <w:pStyle w:val="4"/>
        <w:widowControl/>
        <w:spacing w:beforeAutospacing="0" w:afterAutospacing="0" w:line="480" w:lineRule="atLeast"/>
        <w:ind w:firstLine="420"/>
        <w:jc w:val="center"/>
        <w:rPr>
          <w:rFonts w:ascii="宋体" w:hAnsi="宋体" w:eastAsia="宋体" w:cs="宋体"/>
        </w:rPr>
      </w:pPr>
      <w:r>
        <w:rPr>
          <w:rFonts w:hint="eastAsia" w:ascii="宋体" w:hAnsi="宋体" w:eastAsia="宋体" w:cs="宋体"/>
        </w:rPr>
        <w:t>编制说明</w:t>
      </w:r>
    </w:p>
    <w:p w14:paraId="0F197F11">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1、招标文件要求提交的除“资格及资信证明部分”、“报价部分”外的其他证明材料或资料加盖投标人的单位公章后应在此项下提交。</w:t>
      </w:r>
    </w:p>
    <w:p w14:paraId="3591753C">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2、招标文件要求投标人提供方案（包括但不限于：组织、实施、技术、服务方案等）的，投标人应在此项下提交。</w:t>
      </w:r>
    </w:p>
    <w:p w14:paraId="0B70B6B7">
      <w:pPr>
        <w:pStyle w:val="4"/>
        <w:widowControl/>
        <w:spacing w:beforeAutospacing="0" w:afterAutospacing="0" w:line="480" w:lineRule="atLeast"/>
        <w:ind w:firstLine="420"/>
        <w:rPr>
          <w:rFonts w:ascii="宋体" w:hAnsi="宋体" w:eastAsia="宋体" w:cs="宋体"/>
        </w:rPr>
      </w:pPr>
      <w:r>
        <w:rPr>
          <w:rFonts w:hint="eastAsia" w:ascii="宋体" w:hAnsi="宋体" w:eastAsia="宋体" w:cs="宋体"/>
        </w:rPr>
        <w:t>3、除招标文件另有规定外，投标人认为需要提交的其他证明材料或资料加盖投标人的单位公章后应在此项下提交。</w:t>
      </w:r>
    </w:p>
    <w:p w14:paraId="775DCC58"/>
    <w:p w14:paraId="3FC9E7E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678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78F2E1">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D78F2E1">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25423"/>
    <w:multiLevelType w:val="singleLevel"/>
    <w:tmpl w:val="44A25423"/>
    <w:lvl w:ilvl="0" w:tentative="0">
      <w:start w:val="1"/>
      <w:numFmt w:val="decimal"/>
      <w:pStyle w:val="3"/>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Y2U1Mjg3NzNjNjAxMTQxZGRhNzBiNGM1YjMzZjEifQ=="/>
  </w:docVars>
  <w:rsids>
    <w:rsidRoot w:val="005B629A"/>
    <w:rsid w:val="001D5EF6"/>
    <w:rsid w:val="005B629A"/>
    <w:rsid w:val="0089035B"/>
    <w:rsid w:val="00AC2D9C"/>
    <w:rsid w:val="00C06B77"/>
    <w:rsid w:val="00C1252B"/>
    <w:rsid w:val="00F34E50"/>
    <w:rsid w:val="012852A1"/>
    <w:rsid w:val="02BA2627"/>
    <w:rsid w:val="0496152E"/>
    <w:rsid w:val="06D66CFD"/>
    <w:rsid w:val="072D1C3D"/>
    <w:rsid w:val="09E813E1"/>
    <w:rsid w:val="0AA03A6A"/>
    <w:rsid w:val="0C0065B7"/>
    <w:rsid w:val="0C2A59B7"/>
    <w:rsid w:val="0ECC5633"/>
    <w:rsid w:val="109B4801"/>
    <w:rsid w:val="10D21321"/>
    <w:rsid w:val="12E27287"/>
    <w:rsid w:val="158F316C"/>
    <w:rsid w:val="189800ED"/>
    <w:rsid w:val="18EA0F00"/>
    <w:rsid w:val="19497188"/>
    <w:rsid w:val="19B15569"/>
    <w:rsid w:val="1A017B3A"/>
    <w:rsid w:val="1A0226B8"/>
    <w:rsid w:val="1A8C2912"/>
    <w:rsid w:val="1D15502D"/>
    <w:rsid w:val="1E831280"/>
    <w:rsid w:val="1EE05B55"/>
    <w:rsid w:val="1F763F05"/>
    <w:rsid w:val="1F9E7174"/>
    <w:rsid w:val="200F57D3"/>
    <w:rsid w:val="204A74D3"/>
    <w:rsid w:val="22C74E2E"/>
    <w:rsid w:val="23360B71"/>
    <w:rsid w:val="23413CE1"/>
    <w:rsid w:val="23966660"/>
    <w:rsid w:val="24000CD9"/>
    <w:rsid w:val="24AB75BE"/>
    <w:rsid w:val="256B5C15"/>
    <w:rsid w:val="2611763A"/>
    <w:rsid w:val="262071A8"/>
    <w:rsid w:val="26CC64AB"/>
    <w:rsid w:val="27483199"/>
    <w:rsid w:val="27847245"/>
    <w:rsid w:val="2802249F"/>
    <w:rsid w:val="2924752F"/>
    <w:rsid w:val="295A26BC"/>
    <w:rsid w:val="2D853AA4"/>
    <w:rsid w:val="31945C87"/>
    <w:rsid w:val="328A611C"/>
    <w:rsid w:val="335033CB"/>
    <w:rsid w:val="36E43F77"/>
    <w:rsid w:val="36F41344"/>
    <w:rsid w:val="371C0A14"/>
    <w:rsid w:val="38137E98"/>
    <w:rsid w:val="38623410"/>
    <w:rsid w:val="3B2E6C22"/>
    <w:rsid w:val="3C237108"/>
    <w:rsid w:val="3DF5550E"/>
    <w:rsid w:val="3FD5729D"/>
    <w:rsid w:val="42F0679A"/>
    <w:rsid w:val="483824A4"/>
    <w:rsid w:val="4A805D66"/>
    <w:rsid w:val="4B104CE2"/>
    <w:rsid w:val="4CBE5929"/>
    <w:rsid w:val="4FD42444"/>
    <w:rsid w:val="50B24485"/>
    <w:rsid w:val="51FA4F0A"/>
    <w:rsid w:val="52240203"/>
    <w:rsid w:val="524F4974"/>
    <w:rsid w:val="529A0B4C"/>
    <w:rsid w:val="5442780F"/>
    <w:rsid w:val="546F060D"/>
    <w:rsid w:val="55C80F0D"/>
    <w:rsid w:val="56BA271F"/>
    <w:rsid w:val="570E2FF5"/>
    <w:rsid w:val="57631886"/>
    <w:rsid w:val="5AFF7743"/>
    <w:rsid w:val="5BFB4E6E"/>
    <w:rsid w:val="5C30794A"/>
    <w:rsid w:val="5DCB5F7B"/>
    <w:rsid w:val="5E394EDC"/>
    <w:rsid w:val="5F3B145E"/>
    <w:rsid w:val="61DA77AF"/>
    <w:rsid w:val="62525BFE"/>
    <w:rsid w:val="626F586D"/>
    <w:rsid w:val="65D67A05"/>
    <w:rsid w:val="67ED7ECD"/>
    <w:rsid w:val="68BB706D"/>
    <w:rsid w:val="699F5773"/>
    <w:rsid w:val="6A5F2323"/>
    <w:rsid w:val="6A885689"/>
    <w:rsid w:val="6B472B31"/>
    <w:rsid w:val="6E0B124B"/>
    <w:rsid w:val="6E9547A5"/>
    <w:rsid w:val="70437BE7"/>
    <w:rsid w:val="712A739C"/>
    <w:rsid w:val="718736E3"/>
    <w:rsid w:val="756828D7"/>
    <w:rsid w:val="777B26EA"/>
    <w:rsid w:val="779847B5"/>
    <w:rsid w:val="78F94755"/>
    <w:rsid w:val="79E100FE"/>
    <w:rsid w:val="7A2F5A05"/>
    <w:rsid w:val="7A900E0F"/>
    <w:rsid w:val="7C223645"/>
    <w:rsid w:val="7D681ABE"/>
    <w:rsid w:val="7E480D9C"/>
    <w:rsid w:val="7EDB0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8">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9">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2">
    <w:name w:val="heading 5"/>
    <w:basedOn w:val="3"/>
    <w:next w:val="4"/>
    <w:unhideWhenUsed/>
    <w:qFormat/>
    <w:uiPriority w:val="9"/>
    <w:pPr>
      <w:keepNext/>
      <w:keepLines/>
      <w:tabs>
        <w:tab w:val="left" w:pos="780"/>
      </w:tabs>
      <w:ind w:left="0" w:hanging="1008"/>
      <w:outlineLvl w:val="4"/>
    </w:pPr>
    <w:rPr>
      <w:bCs/>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List Number 2"/>
    <w:basedOn w:val="1"/>
    <w:qFormat/>
    <w:uiPriority w:val="0"/>
    <w:pPr>
      <w:numPr>
        <w:ilvl w:val="0"/>
        <w:numId w:val="1"/>
      </w:numPr>
    </w:pPr>
  </w:style>
  <w:style w:type="paragraph" w:styleId="4">
    <w:name w:val="Normal (Web)"/>
    <w:basedOn w:val="1"/>
    <w:next w:val="5"/>
    <w:qFormat/>
    <w:uiPriority w:val="0"/>
    <w:pPr>
      <w:spacing w:beforeAutospacing="1" w:afterAutospacing="1"/>
      <w:jc w:val="left"/>
    </w:pPr>
    <w:rPr>
      <w:rFonts w:cs="Times New Roman"/>
      <w:kern w:val="0"/>
      <w:sz w:val="24"/>
    </w:rPr>
  </w:style>
  <w:style w:type="paragraph" w:customStyle="1" w:styleId="5">
    <w:name w:val="样式 标题 3 + (中文) 黑体 小四 非加粗 段前: 7.8 磅 段后: 0 磅 行距: 固定值 20 磅"/>
    <w:basedOn w:val="6"/>
    <w:qFormat/>
    <w:uiPriority w:val="0"/>
    <w:pPr>
      <w:tabs>
        <w:tab w:val="left" w:pos="425"/>
      </w:tabs>
      <w:spacing w:line="400" w:lineRule="exact"/>
    </w:pPr>
    <w:rPr>
      <w:rFonts w:ascii="Times New Roman" w:hAnsi="Times New Roman" w:eastAsia="黑体" w:cs="宋体"/>
      <w:kern w:val="2"/>
      <w:sz w:val="24"/>
      <w:szCs w:val="20"/>
    </w:rPr>
  </w:style>
  <w:style w:type="paragraph" w:styleId="10">
    <w:name w:val="annotation text"/>
    <w:basedOn w:val="1"/>
    <w:qFormat/>
    <w:uiPriority w:val="0"/>
    <w:pPr>
      <w:jc w:val="left"/>
    </w:pPr>
  </w:style>
  <w:style w:type="paragraph" w:styleId="11">
    <w:name w:val="Body Text Indent"/>
    <w:basedOn w:val="1"/>
    <w:qFormat/>
    <w:uiPriority w:val="0"/>
    <w:pPr>
      <w:spacing w:line="720" w:lineRule="exact"/>
      <w:ind w:firstLine="601"/>
    </w:pPr>
    <w:rPr>
      <w:rFonts w:ascii="宋体" w:hAnsi="宋体" w:eastAsia="宋体" w:cs="Times New Roman"/>
      <w:sz w:val="24"/>
    </w:rPr>
  </w:style>
  <w:style w:type="paragraph" w:styleId="12">
    <w:name w:val="Block Text"/>
    <w:basedOn w:val="1"/>
    <w:qFormat/>
    <w:uiPriority w:val="99"/>
    <w:pPr>
      <w:ind w:left="1440" w:leftChars="700" w:right="1440" w:rightChars="700"/>
    </w:pPr>
  </w:style>
  <w:style w:type="paragraph" w:styleId="13">
    <w:name w:val="Balloon Text"/>
    <w:basedOn w:val="1"/>
    <w:next w:val="1"/>
    <w:qFormat/>
    <w:uiPriority w:val="0"/>
    <w:rPr>
      <w:rFonts w:ascii="Calibri" w:hAnsi="Calibri" w:eastAsia="宋体" w:cs="Times New Roman"/>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Body Text First Indent 2"/>
    <w:basedOn w:val="11"/>
    <w:unhideWhenUsed/>
    <w:qFormat/>
    <w:uiPriority w:val="99"/>
    <w:pPr>
      <w:ind w:firstLine="420" w:firstLineChars="200"/>
    </w:pPr>
  </w:style>
  <w:style w:type="character" w:styleId="19">
    <w:name w:val="Strong"/>
    <w:basedOn w:val="18"/>
    <w:qFormat/>
    <w:uiPriority w:val="0"/>
    <w:rPr>
      <w:b/>
    </w:rPr>
  </w:style>
  <w:style w:type="paragraph" w:customStyle="1" w:styleId="20">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21">
    <w:name w:val="GP正文(无首行缩进)"/>
    <w:basedOn w:val="1"/>
    <w:qFormat/>
    <w:uiPriority w:val="0"/>
    <w:pPr>
      <w:spacing w:line="360" w:lineRule="auto"/>
      <w:ind w:firstLine="480" w:firstLineChars="200"/>
    </w:pPr>
    <w:rPr>
      <w:rFonts w:hAnsi="宋体"/>
      <w:sz w:val="24"/>
    </w:rPr>
  </w:style>
  <w:style w:type="character" w:customStyle="1" w:styleId="22">
    <w:name w:val="font21"/>
    <w:basedOn w:val="18"/>
    <w:qFormat/>
    <w:uiPriority w:val="0"/>
    <w:rPr>
      <w:rFonts w:ascii="宋体" w:hAnsi="宋体" w:eastAsia="宋体" w:cs="宋体"/>
      <w:color w:val="000000"/>
      <w:sz w:val="18"/>
      <w:szCs w:val="18"/>
      <w:u w:val="none"/>
    </w:rPr>
  </w:style>
  <w:style w:type="character" w:customStyle="1" w:styleId="23">
    <w:name w:val="font31"/>
    <w:basedOn w:val="18"/>
    <w:qFormat/>
    <w:uiPriority w:val="0"/>
    <w:rPr>
      <w:rFonts w:ascii="微软雅黑" w:hAnsi="微软雅黑" w:eastAsia="微软雅黑" w:cs="微软雅黑"/>
      <w:color w:val="000000"/>
      <w:sz w:val="18"/>
      <w:szCs w:val="18"/>
      <w:u w:val="none"/>
    </w:rPr>
  </w:style>
  <w:style w:type="character" w:customStyle="1" w:styleId="24">
    <w:name w:val="font51"/>
    <w:basedOn w:val="18"/>
    <w:qFormat/>
    <w:uiPriority w:val="0"/>
    <w:rPr>
      <w:rFonts w:ascii="Arial" w:hAnsi="Arial" w:cs="Arial"/>
      <w:color w:val="000000"/>
      <w:sz w:val="18"/>
      <w:szCs w:val="18"/>
      <w:u w:val="none"/>
    </w:rPr>
  </w:style>
  <w:style w:type="character" w:customStyle="1" w:styleId="25">
    <w:name w:val="font61"/>
    <w:basedOn w:val="18"/>
    <w:qFormat/>
    <w:uiPriority w:val="0"/>
    <w:rPr>
      <w:rFonts w:hint="eastAsia" w:ascii="宋体" w:hAnsi="宋体" w:eastAsia="宋体" w:cs="宋体"/>
      <w:color w:val="000000"/>
      <w:sz w:val="18"/>
      <w:szCs w:val="18"/>
      <w:u w:val="none"/>
    </w:rPr>
  </w:style>
  <w:style w:type="paragraph" w:customStyle="1" w:styleId="26">
    <w:name w:val="null3"/>
    <w:qFormat/>
    <w:uiPriority w:val="0"/>
    <w:rPr>
      <w:rFonts w:hint="eastAsia" w:ascii="Calibri" w:hAnsi="Calibri" w:eastAsia="宋体" w:cs="Times New Roman"/>
      <w:lang w:val="en-US" w:eastAsia="zh-CN" w:bidi="ar-SA"/>
    </w:rPr>
  </w:style>
  <w:style w:type="character" w:customStyle="1" w:styleId="27">
    <w:name w:val="NormalCharacter"/>
    <w:qFormat/>
    <w:uiPriority w:val="0"/>
    <w:rPr>
      <w:rFonts w:ascii="Times New Roman" w:hAnsi="Times New Roman" w:eastAsia="宋体" w:cs="Times New Roman"/>
    </w:rPr>
  </w:style>
  <w:style w:type="table" w:customStyle="1" w:styleId="2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32381</Words>
  <Characters>33621</Characters>
  <Lines>531</Lines>
  <Paragraphs>149</Paragraphs>
  <TotalTime>70</TotalTime>
  <ScaleCrop>false</ScaleCrop>
  <LinksUpToDate>false</LinksUpToDate>
  <CharactersWithSpaces>33767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2024-12-16T11:16:00Z</dcterms:created>
  <dc:creator>Administrator</dc:creator>
  <cp:lastModifiedBy>浅唱</cp:lastModifiedBy>
  <cp:lastPrinted>2025-04-07T06:48:00Z</cp:lastPrinted>
  <dcterms:modified xsi:type="dcterms:W3CDTF">2025-04-09T07:20:26Z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657BA438DACD4A02A9B7B191A7344862_13</vt:lpwstr>
  </property>
  <property fmtid="{D5CDD505-2E9C-101B-9397-08002B2CF9AE}" pid="4" name="KSOTemplateDocerSaveRecord">
    <vt:lpwstr>eyJoZGlkIjoiY2E1Y2U1Mjg3NzNjNjAxMTQxZGRhNzBiNGM1YjMzZjEiLCJ1c2VySWQiOiI3Mjc5NTUxOTcifQ==</vt:lpwstr>
  </property>
</Properties>
</file>